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color w:val="000000" w:themeColor="text1"/>
          <w:spacing w:val="60"/>
          <w:sz w:val="52"/>
          <w:szCs w:val="52"/>
          <w14:textFill>
            <w14:solidFill>
              <w14:schemeClr w14:val="tx1"/>
            </w14:solidFill>
          </w14:textFill>
        </w:rPr>
      </w:pPr>
    </w:p>
    <w:p>
      <w:pPr>
        <w:jc w:val="center"/>
        <w:rPr>
          <w:rFonts w:ascii="宋体" w:hAnsi="宋体" w:eastAsia="宋体" w:cs="宋体"/>
          <w:b/>
          <w:color w:val="000000" w:themeColor="text1"/>
          <w:spacing w:val="60"/>
          <w:sz w:val="52"/>
          <w:szCs w:val="52"/>
          <w14:textFill>
            <w14:solidFill>
              <w14:schemeClr w14:val="tx1"/>
            </w14:solidFill>
          </w14:textFill>
        </w:rPr>
      </w:pPr>
    </w:p>
    <w:p>
      <w:pPr>
        <w:jc w:val="center"/>
        <w:rPr>
          <w:rFonts w:ascii="宋体" w:hAnsi="宋体" w:eastAsia="宋体" w:cs="宋体"/>
          <w:b/>
          <w:color w:val="000000" w:themeColor="text1"/>
          <w:spacing w:val="60"/>
          <w:sz w:val="72"/>
          <w:szCs w:val="72"/>
          <w14:textFill>
            <w14:solidFill>
              <w14:schemeClr w14:val="tx1"/>
            </w14:solidFill>
          </w14:textFill>
        </w:rPr>
      </w:pPr>
      <w:r>
        <w:rPr>
          <w:rFonts w:hint="eastAsia" w:ascii="宋体" w:hAnsi="宋体" w:eastAsia="宋体" w:cs="宋体"/>
          <w:b/>
          <w:color w:val="000000" w:themeColor="text1"/>
          <w:spacing w:val="60"/>
          <w:sz w:val="72"/>
          <w:szCs w:val="72"/>
          <w14:textFill>
            <w14:solidFill>
              <w14:schemeClr w14:val="tx1"/>
            </w14:solidFill>
          </w14:textFill>
        </w:rPr>
        <w:t>东莞市政府采购项目</w:t>
      </w:r>
    </w:p>
    <w:p>
      <w:pPr>
        <w:jc w:val="center"/>
        <w:rPr>
          <w:rFonts w:ascii="宋体" w:hAnsi="宋体" w:eastAsia="宋体" w:cs="宋体"/>
          <w:b/>
          <w:color w:val="000000" w:themeColor="text1"/>
          <w:spacing w:val="60"/>
          <w:sz w:val="72"/>
          <w:szCs w:val="72"/>
          <w14:textFill>
            <w14:solidFill>
              <w14:schemeClr w14:val="tx1"/>
            </w14:solidFill>
          </w14:textFill>
        </w:rPr>
      </w:pPr>
      <w:r>
        <w:rPr>
          <w:rFonts w:hint="eastAsia" w:ascii="宋体" w:hAnsi="宋体" w:eastAsia="宋体" w:cs="宋体"/>
          <w:b/>
          <w:color w:val="000000" w:themeColor="text1"/>
          <w:spacing w:val="60"/>
          <w:sz w:val="72"/>
          <w:szCs w:val="72"/>
          <w14:textFill>
            <w14:solidFill>
              <w14:schemeClr w14:val="tx1"/>
            </w14:solidFill>
          </w14:textFill>
        </w:rPr>
        <w:t>招 标 文 件</w:t>
      </w:r>
    </w:p>
    <w:p>
      <w:pPr>
        <w:jc w:val="center"/>
        <w:rPr>
          <w:rFonts w:ascii="宋体" w:hAnsi="宋体" w:eastAsia="宋体" w:cs="宋体"/>
          <w:color w:val="000000" w:themeColor="text1"/>
          <w14:textFill>
            <w14:solidFill>
              <w14:schemeClr w14:val="tx1"/>
            </w14:solidFill>
          </w14:textFill>
        </w:rPr>
      </w:pPr>
    </w:p>
    <w:p>
      <w:pPr>
        <w:spacing w:after="468" w:afterLines="150"/>
        <w:jc w:val="center"/>
        <w:rPr>
          <w:rFonts w:ascii="宋体" w:hAnsi="宋体" w:eastAsia="宋体" w:cs="宋体"/>
          <w:b/>
          <w:color w:val="000000" w:themeColor="text1"/>
          <w:sz w:val="28"/>
          <w:szCs w:val="28"/>
          <w14:textFill>
            <w14:solidFill>
              <w14:schemeClr w14:val="tx1"/>
            </w14:solidFill>
          </w14:textFill>
        </w:rPr>
      </w:pPr>
    </w:p>
    <w:p>
      <w:pPr>
        <w:jc w:val="center"/>
        <w:rPr>
          <w:rFonts w:ascii="宋体" w:hAnsi="宋体" w:eastAsia="宋体" w:cs="宋体"/>
          <w:b/>
          <w:color w:val="000000" w:themeColor="text1"/>
          <w:sz w:val="32"/>
          <w:szCs w:val="32"/>
          <w14:textFill>
            <w14:solidFill>
              <w14:schemeClr w14:val="tx1"/>
            </w14:solidFill>
          </w14:textFill>
        </w:rPr>
      </w:pPr>
    </w:p>
    <w:p>
      <w:pPr>
        <w:jc w:val="center"/>
        <w:rPr>
          <w:rFonts w:ascii="宋体" w:hAnsi="宋体" w:eastAsia="宋体" w:cs="宋体"/>
          <w:b/>
          <w:color w:val="000000" w:themeColor="text1"/>
          <w:sz w:val="32"/>
          <w:szCs w:val="32"/>
          <w14:textFill>
            <w14:solidFill>
              <w14:schemeClr w14:val="tx1"/>
            </w14:solidFill>
          </w14:textFill>
        </w:rPr>
      </w:pPr>
    </w:p>
    <w:p>
      <w:pPr>
        <w:pStyle w:val="28"/>
        <w:ind w:firstLine="420"/>
        <w:rPr>
          <w:color w:val="000000" w:themeColor="text1"/>
          <w14:textFill>
            <w14:solidFill>
              <w14:schemeClr w14:val="tx1"/>
            </w14:solidFill>
          </w14:textFill>
        </w:rPr>
      </w:pPr>
    </w:p>
    <w:p>
      <w:pPr>
        <w:jc w:val="center"/>
        <w:rPr>
          <w:rFonts w:ascii="宋体" w:hAnsi="宋体" w:eastAsia="宋体" w:cs="宋体"/>
          <w:b/>
          <w:color w:val="000000" w:themeColor="text1"/>
          <w:sz w:val="32"/>
          <w:szCs w:val="32"/>
          <w14:textFill>
            <w14:solidFill>
              <w14:schemeClr w14:val="tx1"/>
            </w14:solidFill>
          </w14:textFill>
        </w:rPr>
      </w:pPr>
    </w:p>
    <w:tbl>
      <w:tblPr>
        <w:tblStyle w:val="21"/>
        <w:tblW w:w="859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58"/>
        <w:gridCol w:w="6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158" w:type="dxa"/>
          </w:tcPr>
          <w:p>
            <w:pPr>
              <w:jc w:val="center"/>
              <w:rPr>
                <w:rFonts w:ascii="宋体" w:hAnsi="宋体" w:eastAsia="宋体" w:cs="宋体"/>
                <w:b/>
                <w:color w:val="000000" w:themeColor="text1"/>
                <w:spacing w:val="40"/>
                <w:sz w:val="30"/>
                <w:szCs w:val="30"/>
                <w14:textFill>
                  <w14:solidFill>
                    <w14:schemeClr w14:val="tx1"/>
                  </w14:solidFill>
                </w14:textFill>
              </w:rPr>
            </w:pPr>
            <w:r>
              <w:rPr>
                <w:rFonts w:hint="eastAsia" w:ascii="宋体" w:hAnsi="宋体" w:eastAsia="宋体" w:cs="宋体"/>
                <w:b/>
                <w:color w:val="000000" w:themeColor="text1"/>
                <w:spacing w:val="40"/>
                <w:sz w:val="30"/>
                <w:szCs w:val="30"/>
                <w14:textFill>
                  <w14:solidFill>
                    <w14:schemeClr w14:val="tx1"/>
                  </w14:solidFill>
                </w14:textFill>
              </w:rPr>
              <w:t>项目名称：</w:t>
            </w:r>
          </w:p>
        </w:tc>
        <w:tc>
          <w:tcPr>
            <w:tcW w:w="6439" w:type="dxa"/>
          </w:tcPr>
          <w:p>
            <w:pPr>
              <w:jc w:val="left"/>
              <w:rPr>
                <w:rFonts w:hint="eastAsia" w:ascii="宋体" w:hAnsi="宋体" w:eastAsia="宋体" w:cs="宋体"/>
                <w:b/>
                <w:color w:val="000000" w:themeColor="text1"/>
                <w:sz w:val="30"/>
                <w:szCs w:val="30"/>
                <w:lang w:eastAsia="zh-CN"/>
                <w14:textFill>
                  <w14:solidFill>
                    <w14:schemeClr w14:val="tx1"/>
                  </w14:solidFill>
                </w14:textFill>
              </w:rPr>
            </w:pPr>
            <w:r>
              <w:rPr>
                <w:rFonts w:hint="eastAsia" w:ascii="宋体" w:hAnsi="宋体" w:eastAsia="宋体" w:cs="宋体"/>
                <w:b/>
                <w:color w:val="000000" w:themeColor="text1"/>
                <w:sz w:val="30"/>
                <w:szCs w:val="30"/>
                <w:lang w:eastAsia="zh-CN"/>
                <w14:textFill>
                  <w14:solidFill>
                    <w14:schemeClr w14:val="tx1"/>
                  </w14:solidFill>
                </w14:textFill>
              </w:rPr>
              <w:t>校园网络及监控、广播系统升级改造项目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158" w:type="dxa"/>
          </w:tcPr>
          <w:p>
            <w:pPr>
              <w:jc w:val="center"/>
              <w:rPr>
                <w:rFonts w:ascii="宋体" w:hAnsi="宋体" w:eastAsia="宋体" w:cs="宋体"/>
                <w:b/>
                <w:color w:val="000000" w:themeColor="text1"/>
                <w:sz w:val="30"/>
                <w:szCs w:val="30"/>
                <w14:textFill>
                  <w14:solidFill>
                    <w14:schemeClr w14:val="tx1"/>
                  </w14:solidFill>
                </w14:textFill>
              </w:rPr>
            </w:pPr>
            <w:r>
              <w:rPr>
                <w:rFonts w:hint="eastAsia" w:ascii="宋体" w:hAnsi="宋体" w:eastAsia="宋体" w:cs="宋体"/>
                <w:b/>
                <w:color w:val="000000" w:themeColor="text1"/>
                <w:spacing w:val="40"/>
                <w:sz w:val="30"/>
                <w:szCs w:val="30"/>
                <w14:textFill>
                  <w14:solidFill>
                    <w14:schemeClr w14:val="tx1"/>
                  </w14:solidFill>
                </w14:textFill>
              </w:rPr>
              <w:t>项目编号：</w:t>
            </w:r>
          </w:p>
        </w:tc>
        <w:tc>
          <w:tcPr>
            <w:tcW w:w="6439" w:type="dxa"/>
          </w:tcPr>
          <w:p>
            <w:pPr>
              <w:jc w:val="left"/>
              <w:rPr>
                <w:rFonts w:hint="eastAsia" w:ascii="宋体" w:hAnsi="宋体" w:eastAsia="宋体" w:cs="宋体"/>
                <w:b/>
                <w:color w:val="000000" w:themeColor="text1"/>
                <w:sz w:val="30"/>
                <w:szCs w:val="30"/>
                <w:lang w:eastAsia="zh-CN"/>
                <w14:textFill>
                  <w14:solidFill>
                    <w14:schemeClr w14:val="tx1"/>
                  </w14:solidFill>
                </w14:textFill>
              </w:rPr>
            </w:pPr>
            <w:r>
              <w:rPr>
                <w:rFonts w:hint="eastAsia" w:ascii="宋体" w:hAnsi="宋体" w:eastAsia="宋体" w:cs="宋体"/>
                <w:b/>
                <w:color w:val="000000" w:themeColor="text1"/>
                <w:sz w:val="30"/>
                <w:szCs w:val="30"/>
                <w:lang w:eastAsia="zh-CN"/>
                <w14:textFill>
                  <w14:solidFill>
                    <w14:schemeClr w14:val="tx1"/>
                  </w14:solidFill>
                </w14:textFill>
              </w:rPr>
              <w:t>441900-201905-0003002072-0002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158" w:type="dxa"/>
          </w:tcPr>
          <w:p>
            <w:pPr>
              <w:jc w:val="center"/>
              <w:rPr>
                <w:rFonts w:ascii="宋体" w:hAnsi="宋体" w:eastAsia="宋体" w:cs="宋体"/>
                <w:b/>
                <w:color w:val="000000" w:themeColor="text1"/>
                <w:spacing w:val="40"/>
                <w:sz w:val="30"/>
                <w:szCs w:val="30"/>
                <w14:textFill>
                  <w14:solidFill>
                    <w14:schemeClr w14:val="tx1"/>
                  </w14:solidFill>
                </w14:textFill>
              </w:rPr>
            </w:pPr>
            <w:r>
              <w:rPr>
                <w:rFonts w:hint="eastAsia" w:ascii="宋体" w:hAnsi="宋体" w:eastAsia="宋体" w:cs="宋体"/>
                <w:b/>
                <w:color w:val="000000" w:themeColor="text1"/>
                <w:spacing w:val="40"/>
                <w:sz w:val="30"/>
                <w:szCs w:val="30"/>
                <w14:textFill>
                  <w14:solidFill>
                    <w14:schemeClr w14:val="tx1"/>
                  </w14:solidFill>
                </w14:textFill>
              </w:rPr>
              <w:t>采购方式：</w:t>
            </w:r>
          </w:p>
        </w:tc>
        <w:tc>
          <w:tcPr>
            <w:tcW w:w="6439" w:type="dxa"/>
          </w:tcPr>
          <w:p>
            <w:pPr>
              <w:jc w:val="left"/>
              <w:rPr>
                <w:rFonts w:ascii="宋体" w:hAnsi="宋体" w:eastAsia="宋体" w:cs="宋体"/>
                <w:b/>
                <w:color w:val="000000" w:themeColor="text1"/>
                <w:sz w:val="30"/>
                <w:szCs w:val="30"/>
                <w14:textFill>
                  <w14:solidFill>
                    <w14:schemeClr w14:val="tx1"/>
                  </w14:solidFill>
                </w14:textFill>
              </w:rPr>
            </w:pPr>
            <w:r>
              <w:rPr>
                <w:rFonts w:hint="eastAsia" w:ascii="宋体" w:hAnsi="宋体" w:eastAsia="宋体" w:cs="宋体"/>
                <w:b/>
                <w:color w:val="000000" w:themeColor="text1"/>
                <w:sz w:val="30"/>
                <w:szCs w:val="30"/>
                <w14:textFill>
                  <w14:solidFill>
                    <w14:schemeClr w14:val="tx1"/>
                  </w14:solidFill>
                </w14:textFill>
              </w:rPr>
              <w:t>公开招标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158" w:type="dxa"/>
          </w:tcPr>
          <w:p>
            <w:pPr>
              <w:jc w:val="center"/>
              <w:rPr>
                <w:rFonts w:ascii="宋体" w:hAnsi="宋体" w:eastAsia="宋体" w:cs="宋体"/>
                <w:b/>
                <w:color w:val="000000" w:themeColor="text1"/>
                <w:sz w:val="30"/>
                <w:szCs w:val="30"/>
                <w14:textFill>
                  <w14:solidFill>
                    <w14:schemeClr w14:val="tx1"/>
                  </w14:solidFill>
                </w14:textFill>
              </w:rPr>
            </w:pPr>
            <w:r>
              <w:rPr>
                <w:rFonts w:hint="eastAsia" w:ascii="宋体" w:hAnsi="宋体" w:eastAsia="宋体" w:cs="宋体"/>
                <w:b/>
                <w:color w:val="000000" w:themeColor="text1"/>
                <w:spacing w:val="40"/>
                <w:sz w:val="30"/>
                <w:szCs w:val="30"/>
                <w14:textFill>
                  <w14:solidFill>
                    <w14:schemeClr w14:val="tx1"/>
                  </w14:solidFill>
                </w14:textFill>
              </w:rPr>
              <w:t>采购单位：</w:t>
            </w:r>
          </w:p>
        </w:tc>
        <w:tc>
          <w:tcPr>
            <w:tcW w:w="6439" w:type="dxa"/>
          </w:tcPr>
          <w:p>
            <w:pPr>
              <w:jc w:val="left"/>
              <w:rPr>
                <w:rFonts w:hint="eastAsia" w:ascii="宋体" w:hAnsi="宋体" w:eastAsia="宋体" w:cs="宋体"/>
                <w:b/>
                <w:color w:val="000000" w:themeColor="text1"/>
                <w:spacing w:val="4"/>
                <w:sz w:val="30"/>
                <w:szCs w:val="30"/>
                <w:lang w:eastAsia="zh-CN"/>
                <w14:textFill>
                  <w14:solidFill>
                    <w14:schemeClr w14:val="tx1"/>
                  </w14:solidFill>
                </w14:textFill>
              </w:rPr>
            </w:pPr>
            <w:r>
              <w:rPr>
                <w:rFonts w:hint="eastAsia" w:ascii="宋体" w:hAnsi="宋体" w:eastAsia="宋体" w:cs="宋体"/>
                <w:b/>
                <w:color w:val="000000" w:themeColor="text1"/>
                <w:spacing w:val="4"/>
                <w:sz w:val="30"/>
                <w:szCs w:val="30"/>
                <w:lang w:eastAsia="zh-CN"/>
                <w14:textFill>
                  <w14:solidFill>
                    <w14:schemeClr w14:val="tx1"/>
                  </w14:solidFill>
                </w14:textFill>
              </w:rPr>
              <w:t>东莞市纺织服装学校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158" w:type="dxa"/>
          </w:tcPr>
          <w:p>
            <w:pPr>
              <w:jc w:val="center"/>
              <w:rPr>
                <w:rFonts w:ascii="宋体" w:hAnsi="宋体" w:eastAsia="宋体" w:cs="宋体"/>
                <w:b/>
                <w:color w:val="000000" w:themeColor="text1"/>
                <w:sz w:val="30"/>
                <w:szCs w:val="30"/>
                <w14:textFill>
                  <w14:solidFill>
                    <w14:schemeClr w14:val="tx1"/>
                  </w14:solidFill>
                </w14:textFill>
              </w:rPr>
            </w:pPr>
            <w:r>
              <w:rPr>
                <w:rFonts w:hint="eastAsia" w:ascii="宋体" w:hAnsi="宋体" w:eastAsia="宋体" w:cs="宋体"/>
                <w:b/>
                <w:color w:val="000000" w:themeColor="text1"/>
                <w:spacing w:val="-10"/>
                <w:sz w:val="30"/>
                <w:szCs w:val="30"/>
                <w14:textFill>
                  <w14:solidFill>
                    <w14:schemeClr w14:val="tx1"/>
                  </w14:solidFill>
                </w14:textFill>
              </w:rPr>
              <w:t>采购代理机构</w:t>
            </w:r>
            <w:r>
              <w:rPr>
                <w:rFonts w:hint="eastAsia" w:ascii="宋体" w:hAnsi="宋体" w:eastAsia="宋体" w:cs="宋体"/>
                <w:b/>
                <w:color w:val="000000" w:themeColor="text1"/>
                <w:sz w:val="30"/>
                <w:szCs w:val="30"/>
                <w14:textFill>
                  <w14:solidFill>
                    <w14:schemeClr w14:val="tx1"/>
                  </w14:solidFill>
                </w14:textFill>
              </w:rPr>
              <w:t>：</w:t>
            </w:r>
          </w:p>
        </w:tc>
        <w:tc>
          <w:tcPr>
            <w:tcW w:w="6439" w:type="dxa"/>
          </w:tcPr>
          <w:p>
            <w:pPr>
              <w:jc w:val="left"/>
              <w:rPr>
                <w:rFonts w:ascii="宋体" w:hAnsi="宋体" w:eastAsia="宋体" w:cs="宋体"/>
                <w:b/>
                <w:color w:val="000000" w:themeColor="text1"/>
                <w:spacing w:val="4"/>
                <w:sz w:val="30"/>
                <w:szCs w:val="30"/>
                <w14:textFill>
                  <w14:solidFill>
                    <w14:schemeClr w14:val="tx1"/>
                  </w14:solidFill>
                </w14:textFill>
              </w:rPr>
            </w:pPr>
            <w:r>
              <w:rPr>
                <w:rFonts w:hint="eastAsia" w:ascii="宋体" w:hAnsi="宋体" w:eastAsia="宋体" w:cs="宋体"/>
                <w:b/>
                <w:color w:val="000000" w:themeColor="text1"/>
                <w:spacing w:val="4"/>
                <w:sz w:val="30"/>
                <w:szCs w:val="30"/>
                <w14:textFill>
                  <w14:solidFill>
                    <w14:schemeClr w14:val="tx1"/>
                  </w14:solidFill>
                </w14:textFill>
              </w:rPr>
              <w:t>广东旭腾项目管理有限公司</w:t>
            </w:r>
          </w:p>
        </w:tc>
      </w:tr>
    </w:tbl>
    <w:p>
      <w:pPr>
        <w:jc w:val="center"/>
        <w:rPr>
          <w:rFonts w:ascii="宋体" w:hAnsi="宋体" w:eastAsia="宋体" w:cs="宋体"/>
          <w:b/>
          <w:color w:val="000000" w:themeColor="text1"/>
          <w:sz w:val="32"/>
          <w:szCs w:val="32"/>
          <w14:textFill>
            <w14:solidFill>
              <w14:schemeClr w14:val="tx1"/>
            </w14:solidFill>
          </w14:textFill>
        </w:rPr>
      </w:pPr>
    </w:p>
    <w:p>
      <w:pPr>
        <w:jc w:val="center"/>
        <w:rPr>
          <w:rFonts w:ascii="宋体" w:hAnsi="宋体" w:eastAsia="宋体" w:cs="宋体"/>
          <w:b/>
          <w:color w:val="000000" w:themeColor="text1"/>
          <w:spacing w:val="60"/>
          <w:sz w:val="28"/>
          <w:szCs w:val="28"/>
          <w14:textFill>
            <w14:solidFill>
              <w14:schemeClr w14:val="tx1"/>
            </w14:solidFill>
          </w14:textFill>
        </w:rPr>
      </w:pPr>
      <w:r>
        <w:rPr>
          <w:rFonts w:hint="eastAsia" w:ascii="宋体" w:hAnsi="宋体" w:eastAsia="宋体" w:cs="宋体"/>
          <w:b/>
          <w:color w:val="000000" w:themeColor="text1"/>
          <w:spacing w:val="60"/>
          <w:sz w:val="28"/>
          <w:szCs w:val="28"/>
          <w14:textFill>
            <w14:solidFill>
              <w14:schemeClr w14:val="tx1"/>
            </w14:solidFill>
          </w14:textFill>
        </w:rPr>
        <w:t>2019年</w:t>
      </w:r>
      <w:r>
        <w:rPr>
          <w:rFonts w:hint="eastAsia" w:ascii="宋体" w:hAnsi="宋体" w:eastAsia="宋体" w:cs="宋体"/>
          <w:b/>
          <w:color w:val="000000" w:themeColor="text1"/>
          <w:spacing w:val="60"/>
          <w:sz w:val="28"/>
          <w:szCs w:val="28"/>
          <w:lang w:val="en-US" w:eastAsia="zh-CN"/>
          <w14:textFill>
            <w14:solidFill>
              <w14:schemeClr w14:val="tx1"/>
            </w14:solidFill>
          </w14:textFill>
        </w:rPr>
        <w:t>5</w:t>
      </w:r>
      <w:r>
        <w:rPr>
          <w:rFonts w:hint="eastAsia" w:ascii="宋体" w:hAnsi="宋体" w:eastAsia="宋体" w:cs="宋体"/>
          <w:b/>
          <w:color w:val="000000" w:themeColor="text1"/>
          <w:spacing w:val="60"/>
          <w:sz w:val="28"/>
          <w:szCs w:val="28"/>
          <w14:textFill>
            <w14:solidFill>
              <w14:schemeClr w14:val="tx1"/>
            </w14:solidFill>
          </w14:textFill>
        </w:rPr>
        <w:t>月</w:t>
      </w:r>
    </w:p>
    <w:p>
      <w:pPr>
        <w:pageBreakBefore/>
        <w:spacing w:before="312" w:beforeLines="100" w:line="480" w:lineRule="auto"/>
        <w:jc w:val="center"/>
        <w:rPr>
          <w:rFonts w:ascii="仿宋_GB2312" w:hAnsi="仿宋_GB2312" w:eastAsia="仿宋_GB2312" w:cs="仿宋_GB2312"/>
          <w:b/>
          <w:color w:val="000000" w:themeColor="text1"/>
          <w:spacing w:val="60"/>
          <w:sz w:val="36"/>
          <w:szCs w:val="36"/>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701" w:right="1797" w:bottom="1304" w:left="1797" w:header="851" w:footer="680" w:gutter="0"/>
          <w:pgNumType w:start="0"/>
          <w:cols w:space="425" w:num="1"/>
          <w:titlePg/>
          <w:docGrid w:type="lines" w:linePitch="312" w:charSpace="0"/>
        </w:sectPr>
      </w:pPr>
    </w:p>
    <w:p>
      <w:pPr>
        <w:pageBreakBefore/>
        <w:spacing w:before="312" w:beforeLines="100" w:line="480" w:lineRule="auto"/>
        <w:jc w:val="center"/>
        <w:rPr>
          <w:rFonts w:ascii="仿宋_GB2312" w:hAnsi="仿宋_GB2312" w:eastAsia="仿宋_GB2312" w:cs="仿宋_GB2312"/>
          <w:b/>
          <w:color w:val="000000" w:themeColor="text1"/>
          <w:spacing w:val="60"/>
          <w:sz w:val="36"/>
          <w:szCs w:val="36"/>
          <w14:textFill>
            <w14:solidFill>
              <w14:schemeClr w14:val="tx1"/>
            </w14:solidFill>
          </w14:textFill>
        </w:rPr>
      </w:pPr>
      <w:r>
        <w:rPr>
          <w:rFonts w:hint="eastAsia" w:ascii="仿宋_GB2312" w:hAnsi="仿宋_GB2312" w:eastAsia="仿宋_GB2312" w:cs="仿宋_GB2312"/>
          <w:b/>
          <w:color w:val="000000" w:themeColor="text1"/>
          <w:spacing w:val="60"/>
          <w:sz w:val="36"/>
          <w:szCs w:val="36"/>
          <w14:textFill>
            <w14:solidFill>
              <w14:schemeClr w14:val="tx1"/>
            </w14:solidFill>
          </w14:textFill>
        </w:rPr>
        <w:t>温馨提示</w:t>
      </w:r>
    </w:p>
    <w:p>
      <w:pPr>
        <w:pStyle w:val="29"/>
        <w:numPr>
          <w:ilvl w:val="0"/>
          <w:numId w:val="1"/>
        </w:numPr>
        <w:spacing w:line="480" w:lineRule="auto"/>
        <w:ind w:firstLineChars="0"/>
        <w:jc w:val="left"/>
        <w:rPr>
          <w:rFonts w:ascii="仿宋_GB2312" w:hAnsi="仿宋_GB2312" w:eastAsia="仿宋_GB2312" w:cs="仿宋_GB2312"/>
          <w:color w:val="000000" w:themeColor="text1"/>
          <w:spacing w:val="-1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请供应商特别留意招标文件上注明的投标截止和开标时间，逾期送达或邮寄送达的投标文件，采购代理机构恕不接收。因此，请适当提前到达开标会议室。递交投标文件开始时间为投标截止时间前半小时。</w:t>
      </w:r>
    </w:p>
    <w:p>
      <w:pPr>
        <w:pStyle w:val="29"/>
        <w:numPr>
          <w:ilvl w:val="0"/>
          <w:numId w:val="1"/>
        </w:numPr>
        <w:spacing w:line="480" w:lineRule="auto"/>
        <w:ind w:firstLineChars="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以银行转账方式交纳投标保证金的，以到达采购代理机构指定的银行账户时间为准。转账当天不一定能够到账，为避免因投标保证金未到账而导致投标被拒，建议至少提前二个工作日转账。以《银行保函》或《政府采购投标担保函》形式交纳投标保证金的，《银行保函》或《政府采购投标担保函》与投标文件一同递交给采购代理机构,以采购代理机构收到的时间为准</w:t>
      </w:r>
      <w:r>
        <w:rPr>
          <w:rFonts w:hint="eastAsia" w:ascii="仿宋_GB2312" w:hAnsi="仿宋_GB2312" w:eastAsia="仿宋_GB2312" w:cs="仿宋_GB2312"/>
          <w:color w:val="000000" w:themeColor="text1"/>
          <w14:textFill>
            <w14:solidFill>
              <w14:schemeClr w14:val="tx1"/>
            </w14:solidFill>
          </w14:textFill>
        </w:rPr>
        <w:t>。</w:t>
      </w:r>
    </w:p>
    <w:p>
      <w:pPr>
        <w:pStyle w:val="29"/>
        <w:numPr>
          <w:ilvl w:val="0"/>
          <w:numId w:val="1"/>
        </w:numPr>
        <w:spacing w:line="480" w:lineRule="auto"/>
        <w:ind w:firstLineChars="0"/>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请正确填写《开标一览表》。如含有包组请仔细检查包号，包号跟包名称必须一致。</w:t>
      </w:r>
    </w:p>
    <w:p>
      <w:pPr>
        <w:pStyle w:val="29"/>
        <w:numPr>
          <w:ilvl w:val="0"/>
          <w:numId w:val="1"/>
        </w:numPr>
        <w:spacing w:line="480" w:lineRule="auto"/>
        <w:ind w:firstLineChars="0"/>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请仔细检查《投标函》、《开标一览表》、《法定代表人证明书》、《法定代表人授权书》等重要格式文件是否有按要求加盖公章和签名。</w:t>
      </w:r>
    </w:p>
    <w:p>
      <w:pPr>
        <w:pStyle w:val="29"/>
        <w:numPr>
          <w:ilvl w:val="0"/>
          <w:numId w:val="1"/>
        </w:numPr>
        <w:spacing w:line="480" w:lineRule="auto"/>
        <w:ind w:firstLineChars="0"/>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加★号的条款必须一一响应。</w:t>
      </w:r>
    </w:p>
    <w:p>
      <w:pPr>
        <w:pStyle w:val="29"/>
        <w:numPr>
          <w:ilvl w:val="0"/>
          <w:numId w:val="1"/>
        </w:numPr>
        <w:spacing w:line="480" w:lineRule="auto"/>
        <w:ind w:firstLineChars="0"/>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请正确编制投标文件，如含有包组的采购项目，投标人必须按包分开编制、装订封装和提交投标文件；未按包组分开的，将视为投标项目其中的一个包组。</w:t>
      </w:r>
    </w:p>
    <w:p>
      <w:pPr>
        <w:pStyle w:val="29"/>
        <w:numPr>
          <w:ilvl w:val="0"/>
          <w:numId w:val="1"/>
        </w:numPr>
        <w:spacing w:line="480" w:lineRule="auto"/>
        <w:ind w:firstLineChars="0"/>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投标文件应编制索引、目录，按顺序编制页码。</w:t>
      </w:r>
    </w:p>
    <w:p>
      <w:pPr>
        <w:pStyle w:val="29"/>
        <w:numPr>
          <w:ilvl w:val="0"/>
          <w:numId w:val="1"/>
        </w:numPr>
        <w:spacing w:line="480" w:lineRule="auto"/>
        <w:ind w:firstLineChars="0"/>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我公司为采购代理机构，不对供应商购买招标文件时提交的相关资料的真实性负责，如供应商发现相关资料被盗用或复制，应遵循法律途径解决，追究侵权者责任。</w:t>
      </w:r>
    </w:p>
    <w:p>
      <w:pPr>
        <w:pStyle w:val="29"/>
        <w:spacing w:before="312" w:beforeLines="100" w:line="480" w:lineRule="auto"/>
        <w:ind w:firstLine="0" w:firstLineChars="0"/>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【本提示内容非招标文件的组成部分，仅为善意提醒。如有不一致，请以招标文件为准。】</w:t>
      </w:r>
    </w:p>
    <w:p>
      <w:pPr>
        <w:widowControl/>
        <w:jc w:val="left"/>
        <w:rPr>
          <w:rFonts w:ascii="宋体" w:hAnsi="宋体" w:eastAsia="宋体" w:cs="宋体"/>
          <w:color w:val="000000" w:themeColor="text1"/>
          <w14:textFill>
            <w14:solidFill>
              <w14:schemeClr w14:val="tx1"/>
            </w14:solidFill>
          </w14:textFill>
        </w:rPr>
      </w:pPr>
    </w:p>
    <w:p>
      <w:pPr>
        <w:pStyle w:val="30"/>
        <w:keepNext w:val="0"/>
        <w:keepLines w:val="0"/>
        <w:pageBreakBefore/>
        <w:widowControl w:val="0"/>
        <w:spacing w:before="240" w:after="156" w:afterLines="50" w:line="360" w:lineRule="auto"/>
        <w:jc w:val="center"/>
        <w:rPr>
          <w:rFonts w:ascii="宋体" w:hAnsi="宋体" w:eastAsia="宋体" w:cs="宋体"/>
          <w:b w:val="0"/>
          <w:bCs w:val="0"/>
          <w:color w:val="000000" w:themeColor="text1"/>
          <w:kern w:val="2"/>
          <w:sz w:val="21"/>
          <w:szCs w:val="22"/>
          <w:lang w:val="zh-CN"/>
          <w14:textFill>
            <w14:solidFill>
              <w14:schemeClr w14:val="tx1"/>
            </w14:solidFill>
          </w14:textFill>
        </w:rPr>
        <w:sectPr>
          <w:footerReference r:id="rId10" w:type="first"/>
          <w:footerReference r:id="rId9" w:type="default"/>
          <w:pgSz w:w="11906" w:h="16838"/>
          <w:pgMar w:top="1701" w:right="1797" w:bottom="1304" w:left="1797" w:header="851" w:footer="680" w:gutter="0"/>
          <w:pgNumType w:start="0"/>
          <w:cols w:space="425" w:num="1"/>
          <w:titlePg/>
          <w:docGrid w:type="lines" w:linePitch="312" w:charSpace="0"/>
        </w:sectPr>
      </w:pPr>
    </w:p>
    <w:sdt>
      <w:sdtPr>
        <w:rPr>
          <w:rFonts w:hint="eastAsia" w:ascii="宋体" w:hAnsi="宋体" w:eastAsia="宋体" w:cs="宋体"/>
          <w:b w:val="0"/>
          <w:bCs w:val="0"/>
          <w:color w:val="000000" w:themeColor="text1"/>
          <w:kern w:val="2"/>
          <w:sz w:val="21"/>
          <w:szCs w:val="22"/>
          <w:lang w:val="zh-CN"/>
          <w14:textFill>
            <w14:solidFill>
              <w14:schemeClr w14:val="tx1"/>
            </w14:solidFill>
          </w14:textFill>
        </w:rPr>
        <w:id w:val="-671422043"/>
      </w:sdtPr>
      <w:sdtEndPr>
        <w:rPr>
          <w:rFonts w:hint="eastAsia" w:ascii="宋体" w:hAnsi="宋体" w:eastAsia="宋体" w:cs="宋体"/>
          <w:b w:val="0"/>
          <w:bCs w:val="0"/>
          <w:color w:val="000000" w:themeColor="text1"/>
          <w:kern w:val="2"/>
          <w:sz w:val="21"/>
          <w:szCs w:val="22"/>
          <w:lang w:val="zh-CN"/>
          <w14:textFill>
            <w14:solidFill>
              <w14:schemeClr w14:val="tx1"/>
            </w14:solidFill>
          </w14:textFill>
        </w:rPr>
      </w:sdtEndPr>
      <w:sdtContent>
        <w:p>
          <w:pPr>
            <w:pStyle w:val="30"/>
            <w:keepNext w:val="0"/>
            <w:keepLines w:val="0"/>
            <w:pageBreakBefore/>
            <w:widowControl w:val="0"/>
            <w:spacing w:before="240" w:after="156" w:afterLines="50" w:line="360" w:lineRule="auto"/>
            <w:jc w:val="center"/>
            <w:rPr>
              <w:rFonts w:ascii="宋体" w:hAnsi="宋体" w:eastAsia="宋体" w:cs="宋体"/>
              <w:color w:val="000000" w:themeColor="text1"/>
              <w14:textFill>
                <w14:solidFill>
                  <w14:schemeClr w14:val="tx1"/>
                </w14:solidFill>
              </w14:textFill>
            </w:rPr>
          </w:pPr>
          <w:bookmarkStart w:id="0" w:name="_Toc391367873"/>
          <w:bookmarkStart w:id="1" w:name="_Toc405313951"/>
          <w:bookmarkStart w:id="2" w:name="_Toc391627747"/>
          <w:r>
            <w:rPr>
              <w:rFonts w:hint="eastAsia" w:ascii="宋体" w:hAnsi="宋体" w:eastAsia="宋体" w:cs="宋体"/>
              <w:color w:val="000000" w:themeColor="text1"/>
              <w:lang w:val="zh-CN"/>
              <w14:textFill>
                <w14:solidFill>
                  <w14:schemeClr w14:val="tx1"/>
                </w14:solidFill>
              </w14:textFill>
            </w:rPr>
            <w:t>目  录</w:t>
          </w:r>
        </w:p>
        <w:p>
          <w:pPr>
            <w:pStyle w:val="15"/>
            <w:tabs>
              <w:tab w:val="right" w:leader="dot" w:pos="8312"/>
              <w:tab w:val="clear" w:pos="8273"/>
            </w:tabs>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TOC \o "1-3" \h \z \u </w:instrText>
          </w:r>
          <w:r>
            <w:rPr>
              <w:rFonts w:hint="eastAsia" w:ascii="宋体" w:hAnsi="宋体" w:eastAsia="宋体" w:cs="宋体"/>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"_Toc8700"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20"/>
              <w:szCs w:val="32"/>
              <w14:textFill>
                <w14:solidFill>
                  <w14:schemeClr w14:val="tx1"/>
                </w14:solidFill>
              </w14:textFill>
            </w:rPr>
            <w:t>第一部分 投标邀请函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_Toc8700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312"/>
              <w:tab w:val="clear" w:pos="82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"_Toc11369"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20"/>
              <w:szCs w:val="32"/>
              <w14:textFill>
                <w14:solidFill>
                  <w14:schemeClr w14:val="tx1"/>
                </w14:solidFill>
              </w14:textFill>
            </w:rPr>
            <w:t>第二部分 用户需求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_Toc11369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312"/>
              <w:tab w:val="clear" w:pos="82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"_Toc1701"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20"/>
              <w:szCs w:val="32"/>
              <w14:textFill>
                <w14:solidFill>
                  <w14:schemeClr w14:val="tx1"/>
                </w14:solidFill>
              </w14:textFill>
            </w:rPr>
            <w:t>第三部分 投标须知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_Toc1701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"_Toc9687" </w:instrText>
          </w:r>
          <w:r>
            <w:rPr>
              <w:color w:val="000000" w:themeColor="text1"/>
              <w14:textFill>
                <w14:solidFill>
                  <w14:schemeClr w14:val="tx1"/>
                </w14:solidFill>
              </w14:textFill>
            </w:rPr>
            <w:fldChar w:fldCharType="separate"/>
          </w:r>
          <w:r>
            <w:rPr>
              <w:rFonts w:hint="eastAsia" w:hAnsi="宋体"/>
              <w:color w:val="000000" w:themeColor="text1"/>
              <w14:textFill>
                <w14:solidFill>
                  <w14:schemeClr w14:val="tx1"/>
                </w14:solidFill>
              </w14:textFill>
            </w:rPr>
            <w:t>投标须知前附表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_Toc9687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"_Toc12099" </w:instrText>
          </w:r>
          <w:r>
            <w:rPr>
              <w:color w:val="000000" w:themeColor="text1"/>
              <w14:textFill>
                <w14:solidFill>
                  <w14:schemeClr w14:val="tx1"/>
                </w14:solidFill>
              </w14:textFill>
            </w:rPr>
            <w:fldChar w:fldCharType="separate"/>
          </w:r>
          <w:r>
            <w:rPr>
              <w:rFonts w:hint="eastAsia" w:hAnsi="宋体"/>
              <w:color w:val="000000" w:themeColor="text1"/>
              <w14:textFill>
                <w14:solidFill>
                  <w14:schemeClr w14:val="tx1"/>
                </w14:solidFill>
              </w14:textFill>
            </w:rPr>
            <w:t>（一）总  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_Toc12099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"_Toc19429" </w:instrText>
          </w:r>
          <w:r>
            <w:rPr>
              <w:color w:val="000000" w:themeColor="text1"/>
              <w14:textFill>
                <w14:solidFill>
                  <w14:schemeClr w14:val="tx1"/>
                </w14:solidFill>
              </w14:textFill>
            </w:rPr>
            <w:fldChar w:fldCharType="separate"/>
          </w:r>
          <w:r>
            <w:rPr>
              <w:rFonts w:hint="eastAsia" w:hAnsi="宋体"/>
              <w:color w:val="000000" w:themeColor="text1"/>
              <w14:textFill>
                <w14:solidFill>
                  <w14:schemeClr w14:val="tx1"/>
                </w14:solidFill>
              </w14:textFill>
            </w:rPr>
            <w:t>（二）招标文件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_Toc19429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"_Toc16760" </w:instrText>
          </w:r>
          <w:r>
            <w:rPr>
              <w:color w:val="000000" w:themeColor="text1"/>
              <w14:textFill>
                <w14:solidFill>
                  <w14:schemeClr w14:val="tx1"/>
                </w14:solidFill>
              </w14:textFill>
            </w:rPr>
            <w:fldChar w:fldCharType="separate"/>
          </w:r>
          <w:r>
            <w:rPr>
              <w:rFonts w:hint="eastAsia" w:hAnsi="宋体"/>
              <w:color w:val="000000" w:themeColor="text1"/>
              <w14:textFill>
                <w14:solidFill>
                  <w14:schemeClr w14:val="tx1"/>
                </w14:solidFill>
              </w14:textFill>
            </w:rPr>
            <w:t>（三）投标文件的编制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_Toc16760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"_Toc23494" </w:instrText>
          </w:r>
          <w:r>
            <w:rPr>
              <w:color w:val="000000" w:themeColor="text1"/>
              <w14:textFill>
                <w14:solidFill>
                  <w14:schemeClr w14:val="tx1"/>
                </w14:solidFill>
              </w14:textFill>
            </w:rPr>
            <w:fldChar w:fldCharType="separate"/>
          </w:r>
          <w:r>
            <w:rPr>
              <w:rFonts w:hint="eastAsia" w:hAnsi="宋体"/>
              <w:color w:val="000000" w:themeColor="text1"/>
              <w14:textFill>
                <w14:solidFill>
                  <w14:schemeClr w14:val="tx1"/>
                </w14:solidFill>
              </w14:textFill>
            </w:rPr>
            <w:t>（四）投标文件的递交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_Toc23494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"_Toc17274" </w:instrText>
          </w:r>
          <w:r>
            <w:rPr>
              <w:color w:val="000000" w:themeColor="text1"/>
              <w14:textFill>
                <w14:solidFill>
                  <w14:schemeClr w14:val="tx1"/>
                </w14:solidFill>
              </w14:textFill>
            </w:rPr>
            <w:fldChar w:fldCharType="separate"/>
          </w:r>
          <w:r>
            <w:rPr>
              <w:rFonts w:hint="eastAsia" w:hAnsi="宋体"/>
              <w:color w:val="000000" w:themeColor="text1"/>
              <w14:textFill>
                <w14:solidFill>
                  <w14:schemeClr w14:val="tx1"/>
                </w14:solidFill>
              </w14:textFill>
            </w:rPr>
            <w:t>（五）关于开标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_Toc17274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"_Toc12661" </w:instrText>
          </w:r>
          <w:r>
            <w:rPr>
              <w:color w:val="000000" w:themeColor="text1"/>
              <w14:textFill>
                <w14:solidFill>
                  <w14:schemeClr w14:val="tx1"/>
                </w14:solidFill>
              </w14:textFill>
            </w:rPr>
            <w:fldChar w:fldCharType="separate"/>
          </w:r>
          <w:r>
            <w:rPr>
              <w:rFonts w:hint="eastAsia" w:hAnsi="宋体"/>
              <w:color w:val="000000" w:themeColor="text1"/>
              <w14:textFill>
                <w14:solidFill>
                  <w14:schemeClr w14:val="tx1"/>
                </w14:solidFill>
              </w14:textFill>
            </w:rPr>
            <w:t>（六）关于评标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_Toc12661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"_Toc23919" </w:instrText>
          </w:r>
          <w:r>
            <w:rPr>
              <w:color w:val="000000" w:themeColor="text1"/>
              <w14:textFill>
                <w14:solidFill>
                  <w14:schemeClr w14:val="tx1"/>
                </w14:solidFill>
              </w14:textFill>
            </w:rPr>
            <w:fldChar w:fldCharType="separate"/>
          </w:r>
          <w:r>
            <w:rPr>
              <w:rFonts w:hint="eastAsia" w:hAnsi="宋体"/>
              <w:color w:val="000000" w:themeColor="text1"/>
              <w14:textFill>
                <w14:solidFill>
                  <w14:schemeClr w14:val="tx1"/>
                </w14:solidFill>
              </w14:textFill>
            </w:rPr>
            <w:t>（七）授予合同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_Toc23919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"_Toc2100"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（八）关于询问、质疑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_Toc2100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"_Toc2682"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（九）关于投诉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_Toc2682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312"/>
              <w:tab w:val="clear" w:pos="82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"_Toc4059"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20"/>
              <w:szCs w:val="32"/>
              <w14:textFill>
                <w14:solidFill>
                  <w14:schemeClr w14:val="tx1"/>
                </w14:solidFill>
              </w14:textFill>
            </w:rPr>
            <w:t>第四部分 评标方法、步骤、标准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_Toc4059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312"/>
              <w:tab w:val="clear" w:pos="82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"_Toc24397"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20"/>
              <w:szCs w:val="32"/>
              <w14:textFill>
                <w14:solidFill>
                  <w14:schemeClr w14:val="tx1"/>
                </w14:solidFill>
              </w14:textFill>
            </w:rPr>
            <w:t>第五部分 拟签订合同文本</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_Toc24397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312"/>
              <w:tab w:val="clear" w:pos="82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"_Toc1445"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20"/>
              <w:szCs w:val="32"/>
              <w14:textFill>
                <w14:solidFill>
                  <w14:schemeClr w14:val="tx1"/>
                </w14:solidFill>
              </w14:textFill>
            </w:rPr>
            <w:t>第六部分 投标文件格式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_Toc1445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"_Toc31301" </w:instrText>
          </w:r>
          <w:r>
            <w:rPr>
              <w:color w:val="000000" w:themeColor="text1"/>
              <w14:textFill>
                <w14:solidFill>
                  <w14:schemeClr w14:val="tx1"/>
                </w14:solidFill>
              </w14:textFill>
            </w:rPr>
            <w:fldChar w:fldCharType="separate"/>
          </w:r>
          <w:r>
            <w:rPr>
              <w:rFonts w:hint="eastAsia"/>
              <w:color w:val="000000" w:themeColor="text1"/>
              <w:szCs w:val="24"/>
              <w14:textFill>
                <w14:solidFill>
                  <w14:schemeClr w14:val="tx1"/>
                </w14:solidFill>
              </w14:textFill>
            </w:rPr>
            <w:t>一 价格文件格式（独立成册）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_Toc31301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"_Toc13406"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12"/>
              <w:szCs w:val="21"/>
              <w14:textFill>
                <w14:solidFill>
                  <w14:schemeClr w14:val="tx1"/>
                </w14:solidFill>
              </w14:textFill>
            </w:rPr>
            <w:t>附件1-1  开标一览表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_Toc13406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"_Toc4435"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12"/>
              <w:szCs w:val="21"/>
              <w14:textFill>
                <w14:solidFill>
                  <w14:schemeClr w14:val="tx1"/>
                </w14:solidFill>
              </w14:textFill>
            </w:rPr>
            <w:t>附件1-2  投标明细报价表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_Toc4435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"_Toc7976"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12"/>
              <w:szCs w:val="21"/>
              <w14:textFill>
                <w14:solidFill>
                  <w14:schemeClr w14:val="tx1"/>
                </w14:solidFill>
              </w14:textFill>
            </w:rPr>
            <w:t>附件1-3  中小企业声明函（如需）</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_Toc7976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"_Toc29759"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12"/>
              <w:szCs w:val="21"/>
              <w14:textFill>
                <w14:solidFill>
                  <w14:schemeClr w14:val="tx1"/>
                </w14:solidFill>
              </w14:textFill>
            </w:rPr>
            <w:t>附件1-4  残疾人福利性单位声明函（如需）</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_Toc29759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"_Toc29480"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12"/>
              <w:szCs w:val="21"/>
              <w14:textFill>
                <w14:solidFill>
                  <w14:schemeClr w14:val="tx1"/>
                </w14:solidFill>
              </w14:textFill>
            </w:rPr>
            <w:t>附件1-5  政策适用性说明（如需）</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_Toc29480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"_Toc19985" </w:instrText>
          </w:r>
          <w:r>
            <w:rPr>
              <w:color w:val="000000" w:themeColor="text1"/>
              <w14:textFill>
                <w14:solidFill>
                  <w14:schemeClr w14:val="tx1"/>
                </w14:solidFill>
              </w14:textFill>
            </w:rPr>
            <w:fldChar w:fldCharType="separate"/>
          </w:r>
          <w:r>
            <w:rPr>
              <w:rFonts w:hint="eastAsia"/>
              <w:color w:val="000000" w:themeColor="text1"/>
              <w:szCs w:val="24"/>
              <w14:textFill>
                <w14:solidFill>
                  <w14:schemeClr w14:val="tx1"/>
                </w14:solidFill>
              </w14:textFill>
            </w:rPr>
            <w:t>二 商务技术文件格式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_Toc19985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"_Toc32732"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12"/>
              <w14:textFill>
                <w14:solidFill>
                  <w14:schemeClr w14:val="tx1"/>
                </w14:solidFill>
              </w14:textFill>
            </w:rPr>
            <w:t xml:space="preserve">附件2-1  </w:t>
          </w:r>
          <w:r>
            <w:rPr>
              <w:rFonts w:hint="eastAsia" w:ascii="宋体" w:hAnsi="宋体" w:eastAsia="宋体" w:cs="宋体"/>
              <w:color w:val="000000" w:themeColor="text1"/>
              <w:spacing w:val="12"/>
              <w:szCs w:val="21"/>
              <w14:textFill>
                <w14:solidFill>
                  <w14:schemeClr w14:val="tx1"/>
                </w14:solidFill>
              </w14:textFill>
            </w:rPr>
            <w:t>投标函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_Toc32732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"_Toc1691"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12"/>
              <w:szCs w:val="21"/>
              <w14:textFill>
                <w14:solidFill>
                  <w14:schemeClr w14:val="tx1"/>
                </w14:solidFill>
              </w14:textFill>
            </w:rPr>
            <w:t>附件2-2  法定代表人身份证明书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_Toc1691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"_Toc13037"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12"/>
              <w:szCs w:val="21"/>
              <w14:textFill>
                <w14:solidFill>
                  <w14:schemeClr w14:val="tx1"/>
                </w14:solidFill>
              </w14:textFill>
            </w:rPr>
            <w:t>附件2-3  法定代表人授权委托书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_Toc13037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"_Toc28027"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12"/>
              <w14:textFill>
                <w14:solidFill>
                  <w14:schemeClr w14:val="tx1"/>
                </w14:solidFill>
              </w14:textFill>
            </w:rPr>
            <w:t>附件2-4  资格声明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_Toc28027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"_Toc15283"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12"/>
              <w:szCs w:val="21"/>
              <w14:textFill>
                <w14:solidFill>
                  <w14:schemeClr w14:val="tx1"/>
                </w14:solidFill>
              </w14:textFill>
            </w:rPr>
            <w:t>附件2-5  投标人基本情况说明格式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_Toc15283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"_Toc25107"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12"/>
              <w14:textFill>
                <w14:solidFill>
                  <w14:schemeClr w14:val="tx1"/>
                </w14:solidFill>
              </w14:textFill>
            </w:rPr>
            <w:t>附件2-6  承诺书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_Toc25107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"_Toc23501"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12"/>
              <w14:textFill>
                <w14:solidFill>
                  <w14:schemeClr w14:val="tx1"/>
                </w14:solidFill>
              </w14:textFill>
            </w:rPr>
            <w:t>附件2-7  商务差异表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_Toc23501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"_Toc2111"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12"/>
              <w14:textFill>
                <w14:solidFill>
                  <w14:schemeClr w14:val="tx1"/>
                </w14:solidFill>
              </w14:textFill>
            </w:rPr>
            <w:t>附件2-8  业绩表格式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_Toc2111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"_Toc21878"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12"/>
              <w14:textFill>
                <w14:solidFill>
                  <w14:schemeClr w14:val="tx1"/>
                </w14:solidFill>
              </w14:textFill>
            </w:rPr>
            <w:t>附件2-9资料、证件原件核查承诺书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_Toc21878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"_Toc22492"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12"/>
              <w14:textFill>
                <w14:solidFill>
                  <w14:schemeClr w14:val="tx1"/>
                </w14:solidFill>
              </w14:textFill>
            </w:rPr>
            <w:t>附件2-10实质性响应一览表（如有）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_Toc22492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"_Toc11644"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12"/>
              <w14:textFill>
                <w14:solidFill>
                  <w14:schemeClr w14:val="tx1"/>
                </w14:solidFill>
              </w14:textFill>
            </w:rPr>
            <w:t>附件2-11重点条款明细响应表（如有）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_Toc11644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"_Toc1366"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12"/>
              <w14:textFill>
                <w14:solidFill>
                  <w14:schemeClr w14:val="tx1"/>
                </w14:solidFill>
              </w14:textFill>
            </w:rPr>
            <w:t>附件2-12技术参数差异表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_Toc1366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"_Toc26121"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12"/>
              <w14:textFill>
                <w14:solidFill>
                  <w14:schemeClr w14:val="tx1"/>
                </w14:solidFill>
              </w14:textFill>
            </w:rPr>
            <w:t>附件2-13项目服务人员配置情况表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_Toc26121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"_Toc29657"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12"/>
              <w14:textFill>
                <w14:solidFill>
                  <w14:schemeClr w14:val="tx1"/>
                </w14:solidFill>
              </w14:textFill>
            </w:rPr>
            <w:t>附件2-14拟担任本项目主要负责人简历表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_Toc29657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"_Toc16544"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12"/>
              <w14:textFill>
                <w14:solidFill>
                  <w14:schemeClr w14:val="tx1"/>
                </w14:solidFill>
              </w14:textFill>
            </w:rPr>
            <w:t>附件2-15拟投入本项目服务设备设施情况表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_Toc16544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"_Toc9689" </w:instrText>
          </w:r>
          <w:r>
            <w:rPr>
              <w:color w:val="000000" w:themeColor="text1"/>
              <w14:textFill>
                <w14:solidFill>
                  <w14:schemeClr w14:val="tx1"/>
                </w14:solidFill>
              </w14:textFill>
            </w:rPr>
            <w:fldChar w:fldCharType="separate"/>
          </w:r>
          <w:r>
            <w:rPr>
              <w:rFonts w:hint="eastAsia"/>
              <w:color w:val="000000" w:themeColor="text1"/>
              <w:szCs w:val="24"/>
              <w14:textFill>
                <w14:solidFill>
                  <w14:schemeClr w14:val="tx1"/>
                </w14:solidFill>
              </w14:textFill>
            </w:rPr>
            <w:t>三 唱标信封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_Toc9689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12"/>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"_Toc18673" </w:instrText>
          </w:r>
          <w:r>
            <w:rPr>
              <w:color w:val="000000" w:themeColor="text1"/>
              <w14:textFill>
                <w14:solidFill>
                  <w14:schemeClr w14:val="tx1"/>
                </w14:solidFill>
              </w14:textFill>
            </w:rPr>
            <w:fldChar w:fldCharType="separate"/>
          </w:r>
          <w:r>
            <w:rPr>
              <w:rFonts w:hint="eastAsia"/>
              <w:color w:val="000000" w:themeColor="text1"/>
              <w:szCs w:val="24"/>
              <w14:textFill>
                <w14:solidFill>
                  <w14:schemeClr w14:val="tx1"/>
                </w14:solidFill>
              </w14:textFill>
            </w:rPr>
            <w:t>四 其它可选表格</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_Toc18673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spacing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bCs/>
              <w:color w:val="000000" w:themeColor="text1"/>
              <w:lang w:val="zh-CN"/>
              <w14:textFill>
                <w14:solidFill>
                  <w14:schemeClr w14:val="tx1"/>
                </w14:solidFill>
              </w14:textFill>
            </w:rPr>
            <w:fldChar w:fldCharType="end"/>
          </w:r>
        </w:p>
      </w:sdtContent>
    </w:sdt>
    <w:p>
      <w:pPr>
        <w:pStyle w:val="3"/>
        <w:keepNext w:val="0"/>
        <w:keepLines w:val="0"/>
        <w:pageBreakBefore/>
        <w:spacing w:before="120" w:after="120" w:line="360" w:lineRule="auto"/>
        <w:jc w:val="center"/>
        <w:rPr>
          <w:rFonts w:ascii="宋体" w:hAnsi="宋体" w:eastAsia="宋体" w:cs="宋体"/>
          <w:color w:val="000000" w:themeColor="text1"/>
          <w:spacing w:val="20"/>
          <w:sz w:val="32"/>
          <w:szCs w:val="32"/>
          <w14:textFill>
            <w14:solidFill>
              <w14:schemeClr w14:val="tx1"/>
            </w14:solidFill>
          </w14:textFill>
        </w:rPr>
        <w:sectPr>
          <w:footerReference r:id="rId12" w:type="first"/>
          <w:footerReference r:id="rId11" w:type="default"/>
          <w:pgSz w:w="11906" w:h="16838"/>
          <w:pgMar w:top="1701" w:right="1797" w:bottom="1304" w:left="1797" w:header="851" w:footer="680" w:gutter="0"/>
          <w:pgNumType w:start="0"/>
          <w:cols w:space="425" w:num="1"/>
          <w:docGrid w:type="lines" w:linePitch="312" w:charSpace="0"/>
        </w:sectPr>
      </w:pPr>
    </w:p>
    <w:p>
      <w:pPr>
        <w:pStyle w:val="3"/>
        <w:keepNext w:val="0"/>
        <w:keepLines w:val="0"/>
        <w:pageBreakBefore/>
        <w:spacing w:before="120" w:after="120" w:line="360" w:lineRule="auto"/>
        <w:jc w:val="center"/>
        <w:rPr>
          <w:rFonts w:ascii="宋体" w:hAnsi="宋体" w:eastAsia="宋体" w:cs="宋体"/>
          <w:color w:val="000000" w:themeColor="text1"/>
          <w:spacing w:val="20"/>
          <w:sz w:val="32"/>
          <w:szCs w:val="32"/>
          <w14:textFill>
            <w14:solidFill>
              <w14:schemeClr w14:val="tx1"/>
            </w14:solidFill>
          </w14:textFill>
        </w:rPr>
      </w:pPr>
      <w:bookmarkStart w:id="3" w:name="_Toc8700"/>
      <w:r>
        <w:rPr>
          <w:rFonts w:hint="eastAsia" w:ascii="宋体" w:hAnsi="宋体" w:eastAsia="宋体" w:cs="宋体"/>
          <w:color w:val="000000" w:themeColor="text1"/>
          <w:spacing w:val="20"/>
          <w:sz w:val="32"/>
          <w:szCs w:val="32"/>
          <w14:textFill>
            <w14:solidFill>
              <w14:schemeClr w14:val="tx1"/>
            </w14:solidFill>
          </w14:textFill>
        </w:rPr>
        <w:t>第一部分 投标邀请函</w:t>
      </w:r>
      <w:bookmarkEnd w:id="0"/>
      <w:bookmarkEnd w:id="1"/>
      <w:bookmarkEnd w:id="2"/>
      <w:bookmarkEnd w:id="3"/>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广东旭腾项目管理有限公司（以下简称“采购代理机构”）受</w:t>
      </w:r>
      <w:r>
        <w:rPr>
          <w:rFonts w:hint="eastAsia" w:ascii="宋体" w:hAnsi="宋体" w:eastAsia="宋体" w:cs="宋体"/>
          <w:color w:val="000000" w:themeColor="text1"/>
          <w:szCs w:val="21"/>
          <w:lang w:val="zh-CN"/>
          <w14:textFill>
            <w14:solidFill>
              <w14:schemeClr w14:val="tx1"/>
            </w14:solidFill>
          </w14:textFill>
        </w:rPr>
        <w:t>东莞市纺织服装学校</w:t>
      </w:r>
      <w:r>
        <w:rPr>
          <w:rFonts w:hint="eastAsia" w:ascii="宋体" w:hAnsi="宋体" w:eastAsia="宋体" w:cs="宋体"/>
          <w:color w:val="000000" w:themeColor="text1"/>
          <w:szCs w:val="21"/>
          <w14:textFill>
            <w14:solidFill>
              <w14:schemeClr w14:val="tx1"/>
            </w14:solidFill>
          </w14:textFill>
        </w:rPr>
        <w:t>(以下简称“采购人”)的委托，拟对</w:t>
      </w:r>
      <w:r>
        <w:rPr>
          <w:rFonts w:hint="eastAsia" w:ascii="宋体" w:hAnsi="宋体" w:eastAsia="宋体" w:cs="宋体"/>
          <w:color w:val="000000" w:themeColor="text1"/>
          <w:szCs w:val="21"/>
          <w:lang w:eastAsia="zh-CN"/>
          <w14:textFill>
            <w14:solidFill>
              <w14:schemeClr w14:val="tx1"/>
            </w14:solidFill>
          </w14:textFill>
        </w:rPr>
        <w:t>校园网络及监控、广播系统升级改造项目</w:t>
      </w:r>
      <w:r>
        <w:rPr>
          <w:rFonts w:hint="eastAsia" w:ascii="宋体" w:hAnsi="宋体" w:eastAsia="宋体" w:cs="宋体"/>
          <w:color w:val="000000" w:themeColor="text1"/>
          <w:szCs w:val="21"/>
          <w14:textFill>
            <w14:solidFill>
              <w14:schemeClr w14:val="tx1"/>
            </w14:solidFill>
          </w14:textFill>
        </w:rPr>
        <w:t>进行公开招标采购，欢迎符合资格条件的供应商投标。</w:t>
      </w:r>
    </w:p>
    <w:p>
      <w:pPr>
        <w:numPr>
          <w:ilvl w:val="1"/>
          <w:numId w:val="2"/>
        </w:numPr>
        <w:spacing w:line="440" w:lineRule="exact"/>
        <w:ind w:left="74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采购项目编号：</w:t>
      </w:r>
      <w:r>
        <w:rPr>
          <w:rFonts w:hint="eastAsia" w:ascii="宋体" w:hAnsi="宋体" w:cs="宋体"/>
          <w:color w:val="000000" w:themeColor="text1"/>
          <w:szCs w:val="21"/>
          <w:lang w:eastAsia="zh-CN"/>
          <w14:textFill>
            <w14:solidFill>
              <w14:schemeClr w14:val="tx1"/>
            </w14:solidFill>
          </w14:textFill>
        </w:rPr>
        <w:t>441900-201905-0003002072-0002</w:t>
      </w:r>
    </w:p>
    <w:p>
      <w:pPr>
        <w:numPr>
          <w:ilvl w:val="1"/>
          <w:numId w:val="2"/>
        </w:numPr>
        <w:tabs>
          <w:tab w:val="left" w:pos="567"/>
        </w:tabs>
        <w:spacing w:line="440" w:lineRule="exact"/>
        <w:ind w:left="74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采购项目名称：</w:t>
      </w:r>
      <w:r>
        <w:rPr>
          <w:rFonts w:hint="eastAsia" w:ascii="宋体" w:hAnsi="宋体" w:cs="宋体"/>
          <w:color w:val="000000" w:themeColor="text1"/>
          <w:szCs w:val="21"/>
          <w:lang w:eastAsia="zh-CN"/>
          <w14:textFill>
            <w14:solidFill>
              <w14:schemeClr w14:val="tx1"/>
            </w14:solidFill>
          </w14:textFill>
        </w:rPr>
        <w:t>校园网络及监控、广播系统升级改造项目</w:t>
      </w:r>
    </w:p>
    <w:p>
      <w:pPr>
        <w:numPr>
          <w:ilvl w:val="1"/>
          <w:numId w:val="2"/>
        </w:numPr>
        <w:tabs>
          <w:tab w:val="left" w:pos="567"/>
        </w:tabs>
        <w:spacing w:line="440" w:lineRule="exact"/>
        <w:ind w:left="748"/>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采购项目预算金额（元）：</w:t>
      </w:r>
      <w:r>
        <w:rPr>
          <w:rFonts w:ascii="宋体" w:eastAsia="宋体"/>
          <w:color w:val="000000" w:themeColor="text1"/>
          <w:szCs w:val="21"/>
          <w:highlight w:val="none"/>
          <w14:textFill>
            <w14:solidFill>
              <w14:schemeClr w14:val="tx1"/>
            </w14:solidFill>
          </w14:textFill>
        </w:rPr>
        <w:t>1</w:t>
      </w:r>
      <w:r>
        <w:rPr>
          <w:rFonts w:hint="eastAsia" w:ascii="宋体" w:eastAsia="宋体"/>
          <w:color w:val="000000" w:themeColor="text1"/>
          <w:szCs w:val="21"/>
          <w:highlight w:val="none"/>
          <w14:textFill>
            <w14:solidFill>
              <w14:schemeClr w14:val="tx1"/>
            </w14:solidFill>
          </w14:textFill>
        </w:rPr>
        <w:t>,</w:t>
      </w:r>
      <w:r>
        <w:rPr>
          <w:rFonts w:ascii="宋体" w:eastAsia="宋体"/>
          <w:color w:val="000000" w:themeColor="text1"/>
          <w:szCs w:val="21"/>
          <w:highlight w:val="none"/>
          <w14:textFill>
            <w14:solidFill>
              <w14:schemeClr w14:val="tx1"/>
            </w14:solidFill>
          </w14:textFill>
        </w:rPr>
        <w:t>998</w:t>
      </w:r>
      <w:r>
        <w:rPr>
          <w:rFonts w:hint="eastAsia" w:ascii="宋体" w:eastAsia="宋体"/>
          <w:color w:val="000000" w:themeColor="text1"/>
          <w:szCs w:val="21"/>
          <w:highlight w:val="none"/>
          <w14:textFill>
            <w14:solidFill>
              <w14:schemeClr w14:val="tx1"/>
            </w14:solidFill>
          </w14:textFill>
        </w:rPr>
        <w:t>,</w:t>
      </w:r>
      <w:r>
        <w:rPr>
          <w:rFonts w:ascii="宋体" w:eastAsia="宋体"/>
          <w:color w:val="000000" w:themeColor="text1"/>
          <w:szCs w:val="21"/>
          <w:highlight w:val="none"/>
          <w14:textFill>
            <w14:solidFill>
              <w14:schemeClr w14:val="tx1"/>
            </w14:solidFill>
          </w14:textFill>
        </w:rPr>
        <w:t>000</w:t>
      </w:r>
      <w:r>
        <w:rPr>
          <w:rFonts w:hint="eastAsia" w:ascii="宋体" w:eastAsia="宋体"/>
          <w:color w:val="000000" w:themeColor="text1"/>
          <w:szCs w:val="21"/>
          <w:highlight w:val="none"/>
          <w14:textFill>
            <w14:solidFill>
              <w14:schemeClr w14:val="tx1"/>
            </w14:solidFill>
          </w14:textFill>
        </w:rPr>
        <w:t>.00</w:t>
      </w:r>
    </w:p>
    <w:p>
      <w:pPr>
        <w:numPr>
          <w:ilvl w:val="1"/>
          <w:numId w:val="2"/>
        </w:numPr>
        <w:tabs>
          <w:tab w:val="left" w:pos="567"/>
        </w:tabs>
        <w:spacing w:line="440" w:lineRule="exact"/>
        <w:ind w:left="748"/>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采购数量：1</w:t>
      </w:r>
    </w:p>
    <w:p>
      <w:pPr>
        <w:numPr>
          <w:ilvl w:val="1"/>
          <w:numId w:val="2"/>
        </w:numPr>
        <w:tabs>
          <w:tab w:val="left" w:pos="567"/>
        </w:tabs>
        <w:spacing w:line="440" w:lineRule="exact"/>
        <w:ind w:left="748"/>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项目内容</w:t>
      </w:r>
      <w:r>
        <w:rPr>
          <w:rFonts w:hint="eastAsia" w:ascii="宋体" w:hAnsi="宋体"/>
          <w:bCs/>
          <w:color w:val="000000" w:themeColor="text1"/>
          <w:szCs w:val="21"/>
          <w:highlight w:val="none"/>
          <w14:textFill>
            <w14:solidFill>
              <w14:schemeClr w14:val="tx1"/>
            </w14:solidFill>
          </w14:textFill>
        </w:rPr>
        <w:t>及要求：（采购项目技术规格、参数及要求，需要落实的政府采购政策）</w:t>
      </w:r>
    </w:p>
    <w:tbl>
      <w:tblPr>
        <w:tblStyle w:val="20"/>
        <w:tblW w:w="83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3900"/>
        <w:gridCol w:w="1220"/>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741" w:type="dxa"/>
            <w:vAlign w:val="center"/>
          </w:tcPr>
          <w:p>
            <w:pPr>
              <w:tabs>
                <w:tab w:val="left" w:pos="360"/>
              </w:tabs>
              <w:spacing w:line="44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序号</w:t>
            </w:r>
          </w:p>
        </w:tc>
        <w:tc>
          <w:tcPr>
            <w:tcW w:w="3900" w:type="dxa"/>
            <w:vAlign w:val="center"/>
          </w:tcPr>
          <w:p>
            <w:pPr>
              <w:tabs>
                <w:tab w:val="left" w:pos="360"/>
              </w:tabs>
              <w:spacing w:line="44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采购内容/用途</w:t>
            </w:r>
          </w:p>
        </w:tc>
        <w:tc>
          <w:tcPr>
            <w:tcW w:w="1220" w:type="dxa"/>
            <w:vAlign w:val="center"/>
          </w:tcPr>
          <w:p>
            <w:pPr>
              <w:tabs>
                <w:tab w:val="left" w:pos="360"/>
              </w:tabs>
              <w:spacing w:line="44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完工期</w:t>
            </w:r>
          </w:p>
        </w:tc>
        <w:tc>
          <w:tcPr>
            <w:tcW w:w="2460" w:type="dxa"/>
            <w:vAlign w:val="center"/>
          </w:tcPr>
          <w:p>
            <w:pPr>
              <w:tabs>
                <w:tab w:val="left" w:pos="360"/>
              </w:tabs>
              <w:spacing w:line="44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技术规格、参数及要求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741" w:type="dxa"/>
            <w:vAlign w:val="center"/>
          </w:tcPr>
          <w:p>
            <w:pPr>
              <w:tabs>
                <w:tab w:val="left" w:pos="360"/>
              </w:tabs>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p>
        </w:tc>
        <w:tc>
          <w:tcPr>
            <w:tcW w:w="3900" w:type="dxa"/>
            <w:vAlign w:val="center"/>
          </w:tcPr>
          <w:p>
            <w:pPr>
              <w:tabs>
                <w:tab w:val="left" w:pos="360"/>
              </w:tabs>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校园网络及监控、广播系统升级改造</w:t>
            </w:r>
          </w:p>
        </w:tc>
        <w:tc>
          <w:tcPr>
            <w:tcW w:w="1220" w:type="dxa"/>
            <w:vAlign w:val="center"/>
          </w:tcPr>
          <w:p>
            <w:pPr>
              <w:tabs>
                <w:tab w:val="left" w:pos="360"/>
              </w:tabs>
              <w:spacing w:line="440" w:lineRule="exact"/>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60</w:t>
            </w:r>
            <w:r>
              <w:rPr>
                <w:rFonts w:hint="eastAsia" w:ascii="宋体" w:hAnsi="宋体" w:cs="宋体"/>
                <w:color w:val="000000" w:themeColor="text1"/>
                <w:szCs w:val="21"/>
                <w:highlight w:val="none"/>
                <w14:textFill>
                  <w14:solidFill>
                    <w14:schemeClr w14:val="tx1"/>
                  </w14:solidFill>
                </w14:textFill>
              </w:rPr>
              <w:t xml:space="preserve">天 </w:t>
            </w:r>
          </w:p>
        </w:tc>
        <w:tc>
          <w:tcPr>
            <w:tcW w:w="2460" w:type="dxa"/>
            <w:vAlign w:val="center"/>
          </w:tcPr>
          <w:p>
            <w:pPr>
              <w:tabs>
                <w:tab w:val="left" w:pos="360"/>
              </w:tabs>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详见“用户需求”部分</w:t>
            </w:r>
          </w:p>
        </w:tc>
      </w:tr>
    </w:tbl>
    <w:p>
      <w:pPr>
        <w:tabs>
          <w:tab w:val="left" w:pos="360"/>
        </w:tabs>
        <w:spacing w:line="440" w:lineRule="exact"/>
        <w:ind w:left="181"/>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w:t>
      </w:r>
    </w:p>
    <w:p>
      <w:pPr>
        <w:numPr>
          <w:ilvl w:val="1"/>
          <w:numId w:val="3"/>
        </w:numPr>
        <w:tabs>
          <w:tab w:val="left" w:pos="360"/>
          <w:tab w:val="left" w:pos="709"/>
          <w:tab w:val="clear" w:pos="992"/>
        </w:tabs>
        <w:spacing w:line="440" w:lineRule="exact"/>
        <w:ind w:left="709" w:hanging="28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招标项目的详细内容及技术参数、执行标准：详见“用户需求”部分。</w:t>
      </w:r>
    </w:p>
    <w:p>
      <w:pPr>
        <w:numPr>
          <w:ilvl w:val="1"/>
          <w:numId w:val="3"/>
        </w:numPr>
        <w:tabs>
          <w:tab w:val="left" w:pos="360"/>
          <w:tab w:val="left" w:pos="709"/>
          <w:tab w:val="clear" w:pos="992"/>
        </w:tabs>
        <w:spacing w:line="440" w:lineRule="exact"/>
        <w:ind w:left="709" w:hanging="28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投标人应对项目所有的内容进行投标，不允许只对其中部分内容进行投标。</w:t>
      </w:r>
    </w:p>
    <w:p>
      <w:pPr>
        <w:numPr>
          <w:ilvl w:val="1"/>
          <w:numId w:val="3"/>
        </w:numPr>
        <w:tabs>
          <w:tab w:val="left" w:pos="360"/>
          <w:tab w:val="left" w:pos="709"/>
          <w:tab w:val="clear" w:pos="992"/>
        </w:tabs>
        <w:spacing w:line="440" w:lineRule="exact"/>
        <w:ind w:left="709" w:hanging="28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需要落实的政府采购政策：《政府采购促进中小企业发展暂行办法》（财库[2011]181号）、《关于政府采购支持监狱企业发展有关问题的通知》(财库[2014]68号)、</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三部门联合发布关于促进残疾人就业政府采购政策的通知</w:t>
      </w:r>
      <w:r>
        <w:rPr>
          <w:rFonts w:hint="eastAsia" w:ascii="宋体" w:hAnsi="宋体"/>
          <w:color w:val="000000" w:themeColor="text1"/>
          <w:szCs w:val="21"/>
          <w14:textFill>
            <w14:solidFill>
              <w14:schemeClr w14:val="tx1"/>
            </w14:solidFill>
          </w14:textFill>
        </w:rPr>
        <w:t>》（财库〔2017〕141号）等</w:t>
      </w:r>
      <w:r>
        <w:rPr>
          <w:rFonts w:hint="eastAsia" w:ascii="宋体" w:hAnsi="宋体" w:cs="宋体"/>
          <w:color w:val="000000" w:themeColor="text1"/>
          <w:szCs w:val="21"/>
          <w14:textFill>
            <w14:solidFill>
              <w14:schemeClr w14:val="tx1"/>
            </w14:solidFill>
          </w14:textFill>
        </w:rPr>
        <w:t>。</w:t>
      </w:r>
    </w:p>
    <w:p>
      <w:pPr>
        <w:numPr>
          <w:ilvl w:val="1"/>
          <w:numId w:val="2"/>
        </w:numPr>
        <w:tabs>
          <w:tab w:val="left" w:pos="567"/>
        </w:tabs>
        <w:spacing w:line="440" w:lineRule="exact"/>
        <w:ind w:left="748"/>
        <w:rPr>
          <w:rFonts w:ascii="宋体" w:hAnsi="宋体"/>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供应商资格：</w:t>
      </w:r>
    </w:p>
    <w:p>
      <w:pPr>
        <w:numPr>
          <w:ilvl w:val="1"/>
          <w:numId w:val="4"/>
        </w:numPr>
        <w:tabs>
          <w:tab w:val="left" w:pos="709"/>
          <w:tab w:val="clear" w:pos="1060"/>
        </w:tabs>
        <w:spacing w:line="440" w:lineRule="exact"/>
        <w:ind w:left="709" w:hanging="283"/>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供应商应符合《中华人民共和国政府采购法》第二十二条规定的条件。</w:t>
      </w:r>
    </w:p>
    <w:p>
      <w:pPr>
        <w:numPr>
          <w:ilvl w:val="1"/>
          <w:numId w:val="4"/>
        </w:numPr>
        <w:tabs>
          <w:tab w:val="left" w:pos="709"/>
          <w:tab w:val="clear" w:pos="1060"/>
        </w:tabs>
        <w:spacing w:line="440" w:lineRule="exact"/>
        <w:ind w:left="709" w:hanging="283"/>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http://www.ccgp.gov.cn/）查询结果为准，如相关失信记录已失效，供应商需提供相关证明资料）。</w:t>
      </w:r>
    </w:p>
    <w:p>
      <w:pPr>
        <w:numPr>
          <w:ilvl w:val="1"/>
          <w:numId w:val="4"/>
        </w:numPr>
        <w:tabs>
          <w:tab w:val="left" w:pos="709"/>
          <w:tab w:val="clear" w:pos="1060"/>
        </w:tabs>
        <w:spacing w:line="440" w:lineRule="exact"/>
        <w:ind w:left="709" w:hanging="283"/>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本项目只接受报名并购买了招标文件的供应商提交的投标文件。</w:t>
      </w:r>
    </w:p>
    <w:p>
      <w:pPr>
        <w:numPr>
          <w:ilvl w:val="1"/>
          <w:numId w:val="4"/>
        </w:numPr>
        <w:tabs>
          <w:tab w:val="left" w:pos="709"/>
          <w:tab w:val="clear" w:pos="1060"/>
        </w:tabs>
        <w:spacing w:line="440" w:lineRule="exact"/>
        <w:ind w:left="709" w:hanging="283"/>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本项目不接受联合体投标。</w:t>
      </w:r>
    </w:p>
    <w:p>
      <w:pPr>
        <w:numPr>
          <w:ilvl w:val="1"/>
          <w:numId w:val="2"/>
        </w:numPr>
        <w:tabs>
          <w:tab w:val="left" w:pos="360"/>
        </w:tabs>
        <w:spacing w:line="440" w:lineRule="exact"/>
        <w:ind w:left="748"/>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项目报名及</w:t>
      </w:r>
      <w:r>
        <w:rPr>
          <w:rFonts w:hint="eastAsia" w:ascii="宋体" w:hAnsi="宋体"/>
          <w:color w:val="000000" w:themeColor="text1"/>
          <w:szCs w:val="21"/>
          <w14:textFill>
            <w14:solidFill>
              <w14:schemeClr w14:val="tx1"/>
            </w14:solidFill>
          </w14:textFill>
        </w:rPr>
        <w:t>获取招标文件方式：现场购买。投标人代表需携带以下资料报名并购买招标文件：</w:t>
      </w:r>
    </w:p>
    <w:p>
      <w:pPr>
        <w:numPr>
          <w:ilvl w:val="1"/>
          <w:numId w:val="5"/>
        </w:numPr>
        <w:tabs>
          <w:tab w:val="left" w:pos="709"/>
          <w:tab w:val="clear" w:pos="1060"/>
        </w:tabs>
        <w:spacing w:line="440" w:lineRule="exact"/>
        <w:ind w:left="709" w:hanging="283"/>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投标人营业执照（事业单位法人证书或法人登记证）副本复印件、组织机构代码证复印件，以上资料均需加盖投标人公章。对已领取“三证合一”的法人证照的单位无需提供组织机构代码证。</w:t>
      </w:r>
    </w:p>
    <w:p>
      <w:pPr>
        <w:numPr>
          <w:ilvl w:val="1"/>
          <w:numId w:val="2"/>
        </w:numPr>
        <w:tabs>
          <w:tab w:val="left" w:pos="360"/>
        </w:tabs>
        <w:spacing w:line="440" w:lineRule="exact"/>
        <w:ind w:left="748"/>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政府采购活动供应商</w:t>
      </w:r>
      <w:r>
        <w:rPr>
          <w:rFonts w:hint="eastAsia" w:ascii="宋体" w:hAnsi="宋体"/>
          <w:color w:val="000000" w:themeColor="text1"/>
          <w:szCs w:val="21"/>
          <w14:textFill>
            <w14:solidFill>
              <w14:schemeClr w14:val="tx1"/>
            </w14:solidFill>
          </w14:textFill>
        </w:rPr>
        <w:t>登记注册要求：</w:t>
      </w:r>
    </w:p>
    <w:p>
      <w:pPr>
        <w:numPr>
          <w:ilvl w:val="1"/>
          <w:numId w:val="6"/>
        </w:numPr>
        <w:tabs>
          <w:tab w:val="left" w:pos="709"/>
          <w:tab w:val="clear" w:pos="1060"/>
        </w:tabs>
        <w:spacing w:line="440" w:lineRule="exact"/>
        <w:ind w:left="709" w:hanging="283"/>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凡参与我市政府采购活动的供应商，应自行通过东莞市政府采购网（http://czj.dg.gov.cn/dggp）或东莞市公共资源交易网（ http://ggzy.dg.gov.cn）进行建档入库，已在东莞市公共资源交易中心入库（企业身份为“政府采购类”）的除外。入库路径：1.东莞市政府采购网-供应商注册；2.东莞市公共资源交易网-企业信息登记-公共资源交易企业库。 </w:t>
      </w:r>
    </w:p>
    <w:p>
      <w:pPr>
        <w:numPr>
          <w:ilvl w:val="1"/>
          <w:numId w:val="6"/>
        </w:numPr>
        <w:tabs>
          <w:tab w:val="left" w:pos="709"/>
          <w:tab w:val="clear" w:pos="1060"/>
        </w:tabs>
        <w:spacing w:line="440" w:lineRule="exact"/>
        <w:ind w:left="709" w:hanging="283"/>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各供应商在入库过程中遇到问题的，请及时与东莞市公共资源交易中心联系。入库信息管理联系人：杨琳,联系电话：0769-28330677，系统技术人员：姚会奇，联系电话：0769-28330604。</w:t>
      </w:r>
      <w:r>
        <w:rPr>
          <w:rFonts w:ascii="宋体" w:hAnsi="宋体" w:cs="宋体"/>
          <w:color w:val="000000" w:themeColor="text1"/>
          <w:szCs w:val="21"/>
          <w14:textFill>
            <w14:solidFill>
              <w14:schemeClr w14:val="tx1"/>
            </w14:solidFill>
          </w14:textFill>
        </w:rPr>
        <w:t xml:space="preserve"> </w:t>
      </w:r>
    </w:p>
    <w:p>
      <w:pPr>
        <w:numPr>
          <w:ilvl w:val="1"/>
          <w:numId w:val="6"/>
        </w:numPr>
        <w:tabs>
          <w:tab w:val="left" w:pos="709"/>
          <w:tab w:val="clear" w:pos="1060"/>
        </w:tabs>
        <w:spacing w:line="440" w:lineRule="exact"/>
        <w:ind w:left="709" w:hanging="283"/>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供应商如未在省采购系统注册的需要自行在省采购系统进行注册。</w:t>
      </w:r>
    </w:p>
    <w:p>
      <w:pPr>
        <w:numPr>
          <w:ilvl w:val="1"/>
          <w:numId w:val="6"/>
        </w:numPr>
        <w:tabs>
          <w:tab w:val="left" w:pos="709"/>
          <w:tab w:val="clear" w:pos="1060"/>
        </w:tabs>
        <w:spacing w:line="440" w:lineRule="exact"/>
        <w:ind w:left="709" w:hanging="283"/>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供应商应确保在采购结果公示前（建议在递交投标文件前）完成东莞市采购系统和省采购系统注册。因供应商注册问题延误项目结果公示或造成省市网系统未同步的，最终以系统解决情况为准。</w:t>
      </w:r>
    </w:p>
    <w:p>
      <w:pPr>
        <w:numPr>
          <w:ilvl w:val="1"/>
          <w:numId w:val="2"/>
        </w:numPr>
        <w:tabs>
          <w:tab w:val="left" w:pos="360"/>
        </w:tabs>
        <w:spacing w:line="440" w:lineRule="exact"/>
        <w:ind w:left="748"/>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本项目</w:t>
      </w:r>
      <w:r>
        <w:rPr>
          <w:rFonts w:hint="eastAsia" w:ascii="宋体" w:hAnsi="宋体"/>
          <w:color w:val="000000" w:themeColor="text1"/>
          <w:szCs w:val="21"/>
          <w14:textFill>
            <w14:solidFill>
              <w14:schemeClr w14:val="tx1"/>
            </w14:solidFill>
          </w14:textFill>
        </w:rPr>
        <w:t>招标</w:t>
      </w:r>
      <w:r>
        <w:rPr>
          <w:rFonts w:ascii="宋体" w:hAnsi="宋体"/>
          <w:color w:val="000000" w:themeColor="text1"/>
          <w:szCs w:val="21"/>
          <w14:textFill>
            <w14:solidFill>
              <w14:schemeClr w14:val="tx1"/>
            </w14:solidFill>
          </w14:textFill>
        </w:rPr>
        <w:t>文件公示时间为</w:t>
      </w:r>
      <w:r>
        <w:rPr>
          <w:rFonts w:hint="eastAsia" w:ascii="宋体" w:hAnsi="宋体"/>
          <w:color w:val="000000" w:themeColor="text1"/>
          <w:szCs w:val="21"/>
          <w14:textFill>
            <w14:solidFill>
              <w14:schemeClr w14:val="tx1"/>
            </w14:solidFill>
          </w14:textFill>
        </w:rPr>
        <w:t>：2019年</w:t>
      </w:r>
      <w:r>
        <w:rPr>
          <w:rFonts w:hint="eastAsia" w:ascii="宋体" w:hAnsi="宋体"/>
          <w:color w:val="000000" w:themeColor="text1"/>
          <w:szCs w:val="21"/>
          <w:lang w:val="en-US" w:eastAsia="zh-CN"/>
          <w14:textFill>
            <w14:solidFill>
              <w14:schemeClr w14:val="tx1"/>
            </w14:solidFill>
          </w14:textFill>
        </w:rPr>
        <w:t>05</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28</w:t>
      </w:r>
      <w:r>
        <w:rPr>
          <w:rFonts w:hint="eastAsia" w:ascii="宋体" w:hAnsi="宋体"/>
          <w:color w:val="000000" w:themeColor="text1"/>
          <w:szCs w:val="21"/>
          <w14:textFill>
            <w14:solidFill>
              <w14:schemeClr w14:val="tx1"/>
            </w14:solidFill>
          </w14:textFill>
        </w:rPr>
        <w:t>日至2019年</w:t>
      </w:r>
      <w:r>
        <w:rPr>
          <w:rFonts w:hint="eastAsia" w:ascii="宋体" w:hAnsi="宋体"/>
          <w:color w:val="000000" w:themeColor="text1"/>
          <w:szCs w:val="21"/>
          <w:lang w:val="en-US" w:eastAsia="zh-CN"/>
          <w14:textFill>
            <w14:solidFill>
              <w14:schemeClr w14:val="tx1"/>
            </w14:solidFill>
          </w14:textFill>
        </w:rPr>
        <w:t>06</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04</w:t>
      </w:r>
      <w:r>
        <w:rPr>
          <w:rFonts w:hint="eastAsia" w:ascii="宋体" w:hAnsi="宋体"/>
          <w:color w:val="000000" w:themeColor="text1"/>
          <w:szCs w:val="21"/>
          <w14:textFill>
            <w14:solidFill>
              <w14:schemeClr w14:val="tx1"/>
            </w14:solidFill>
          </w14:textFill>
        </w:rPr>
        <w:t>日。</w:t>
      </w:r>
    </w:p>
    <w:p>
      <w:pPr>
        <w:numPr>
          <w:ilvl w:val="1"/>
          <w:numId w:val="2"/>
        </w:numPr>
        <w:tabs>
          <w:tab w:val="left" w:pos="360"/>
        </w:tabs>
        <w:spacing w:line="440" w:lineRule="exact"/>
        <w:ind w:left="748"/>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符合资格的供应商应当在</w:t>
      </w:r>
      <w:r>
        <w:rPr>
          <w:rFonts w:hint="eastAsia" w:ascii="宋体" w:hAnsi="宋体"/>
          <w:color w:val="000000" w:themeColor="text1"/>
          <w:szCs w:val="21"/>
          <w14:textFill>
            <w14:solidFill>
              <w14:schemeClr w14:val="tx1"/>
            </w14:solidFill>
          </w14:textFill>
        </w:rPr>
        <w:t>2019年</w:t>
      </w:r>
      <w:r>
        <w:rPr>
          <w:rFonts w:hint="eastAsia" w:ascii="宋体" w:hAnsi="宋体"/>
          <w:color w:val="000000" w:themeColor="text1"/>
          <w:szCs w:val="21"/>
          <w:lang w:val="en-US" w:eastAsia="zh-CN"/>
          <w14:textFill>
            <w14:solidFill>
              <w14:schemeClr w14:val="tx1"/>
            </w14:solidFill>
          </w14:textFill>
        </w:rPr>
        <w:t>05</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28</w:t>
      </w:r>
      <w:r>
        <w:rPr>
          <w:rFonts w:hint="eastAsia" w:ascii="宋体" w:hAnsi="宋体"/>
          <w:color w:val="000000" w:themeColor="text1"/>
          <w:szCs w:val="21"/>
          <w14:textFill>
            <w14:solidFill>
              <w14:schemeClr w14:val="tx1"/>
            </w14:solidFill>
          </w14:textFill>
        </w:rPr>
        <w:t>日至2019年</w:t>
      </w:r>
      <w:r>
        <w:rPr>
          <w:rFonts w:hint="eastAsia" w:ascii="宋体" w:hAnsi="宋体"/>
          <w:color w:val="000000" w:themeColor="text1"/>
          <w:szCs w:val="21"/>
          <w:lang w:val="en-US" w:eastAsia="zh-CN"/>
          <w14:textFill>
            <w14:solidFill>
              <w14:schemeClr w14:val="tx1"/>
            </w14:solidFill>
          </w14:textFill>
        </w:rPr>
        <w:t>06</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04</w:t>
      </w:r>
      <w:r>
        <w:rPr>
          <w:rFonts w:hint="eastAsia" w:ascii="宋体" w:hAnsi="宋体"/>
          <w:color w:val="000000" w:themeColor="text1"/>
          <w:szCs w:val="21"/>
          <w14:textFill>
            <w14:solidFill>
              <w14:schemeClr w14:val="tx1"/>
            </w14:solidFill>
          </w14:textFill>
        </w:rPr>
        <w:t>日</w:t>
      </w:r>
      <w:r>
        <w:rPr>
          <w:rFonts w:hint="eastAsia" w:ascii="宋体" w:hAnsi="宋体"/>
          <w:bCs/>
          <w:color w:val="000000" w:themeColor="text1"/>
          <w:szCs w:val="21"/>
          <w14:textFill>
            <w14:solidFill>
              <w14:schemeClr w14:val="tx1"/>
            </w14:solidFill>
          </w14:textFill>
        </w:rPr>
        <w:t>期间（工作日上午9:30-12:00和下午14:00-17:00，法定节假日除外）到</w:t>
      </w:r>
      <w:r>
        <w:rPr>
          <w:rFonts w:hint="eastAsia" w:ascii="宋体" w:hAnsi="宋体"/>
          <w:bCs/>
          <w:color w:val="000000" w:themeColor="text1"/>
          <w:szCs w:val="21"/>
          <w:u w:val="single"/>
          <w14:textFill>
            <w14:solidFill>
              <w14:schemeClr w14:val="tx1"/>
            </w14:solidFill>
          </w14:textFill>
        </w:rPr>
        <w:t>广东旭腾项目管理有限公司</w:t>
      </w:r>
      <w:r>
        <w:rPr>
          <w:rFonts w:hint="eastAsia" w:ascii="宋体" w:hAnsi="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14:textFill>
            <w14:solidFill>
              <w14:schemeClr w14:val="tx1"/>
            </w14:solidFill>
          </w14:textFill>
        </w:rPr>
        <w:t>详细地址：</w:t>
      </w:r>
      <w:bookmarkStart w:id="4" w:name="OLE_LINK1"/>
      <w:bookmarkStart w:id="5" w:name="OLE_LINK2"/>
      <w:r>
        <w:rPr>
          <w:rFonts w:hint="eastAsia" w:ascii="宋体" w:hAnsi="宋体" w:eastAsia="宋体" w:cs="宋体"/>
          <w:bCs/>
          <w:color w:val="000000" w:themeColor="text1"/>
          <w:szCs w:val="21"/>
          <w:u w:val="single"/>
          <w14:textFill>
            <w14:solidFill>
              <w14:schemeClr w14:val="tx1"/>
            </w14:solidFill>
          </w14:textFill>
        </w:rPr>
        <w:t>东莞市莞城街道兴塘社区东城西路266号城市花园A座办公楼1010号</w:t>
      </w:r>
      <w:bookmarkEnd w:id="4"/>
      <w:bookmarkEnd w:id="5"/>
      <w:r>
        <w:rPr>
          <w:rFonts w:hint="eastAsia" w:ascii="宋体" w:hAnsi="宋体"/>
          <w:bCs/>
          <w:color w:val="000000" w:themeColor="text1"/>
          <w:szCs w:val="21"/>
          <w14:textFill>
            <w14:solidFill>
              <w14:schemeClr w14:val="tx1"/>
            </w14:solidFill>
          </w14:textFill>
        </w:rPr>
        <w:t>）购买招标文件，招标文件每套售价150元（人民币），售后不退。现场购买只接受现金方式。</w:t>
      </w:r>
    </w:p>
    <w:p>
      <w:pPr>
        <w:numPr>
          <w:ilvl w:val="1"/>
          <w:numId w:val="2"/>
        </w:numPr>
        <w:tabs>
          <w:tab w:val="left" w:pos="567"/>
        </w:tabs>
        <w:spacing w:line="440" w:lineRule="exact"/>
        <w:ind w:left="748"/>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w:t>
      </w:r>
      <w:r>
        <w:rPr>
          <w:rFonts w:hint="eastAsia" w:ascii="宋体" w:hAnsi="宋体"/>
          <w:bCs/>
          <w:color w:val="000000" w:themeColor="text1"/>
          <w:szCs w:val="21"/>
          <w14:textFill>
            <w14:solidFill>
              <w14:schemeClr w14:val="tx1"/>
            </w14:solidFill>
          </w14:textFill>
        </w:rPr>
        <w:t>截止</w:t>
      </w:r>
      <w:r>
        <w:rPr>
          <w:rFonts w:hint="eastAsia" w:ascii="宋体" w:hAnsi="宋体" w:cs="宋体"/>
          <w:color w:val="000000" w:themeColor="text1"/>
          <w:szCs w:val="21"/>
          <w14:textFill>
            <w14:solidFill>
              <w14:schemeClr w14:val="tx1"/>
            </w14:solidFill>
          </w14:textFill>
        </w:rPr>
        <w:t>时间：</w:t>
      </w:r>
      <w:r>
        <w:rPr>
          <w:rFonts w:hint="eastAsia" w:ascii="宋体" w:hAnsi="宋体"/>
          <w:color w:val="000000" w:themeColor="text1"/>
          <w:szCs w:val="21"/>
          <w14:textFill>
            <w14:solidFill>
              <w14:schemeClr w14:val="tx1"/>
            </w14:solidFill>
          </w14:textFill>
        </w:rPr>
        <w:t>2019年</w:t>
      </w:r>
      <w:r>
        <w:rPr>
          <w:rFonts w:hint="eastAsia" w:ascii="宋体" w:hAnsi="宋体"/>
          <w:color w:val="000000" w:themeColor="text1"/>
          <w:szCs w:val="21"/>
          <w:lang w:val="en-US" w:eastAsia="zh-CN"/>
          <w14:textFill>
            <w14:solidFill>
              <w14:schemeClr w14:val="tx1"/>
            </w14:solidFill>
          </w14:textFill>
        </w:rPr>
        <w:t>06</w:t>
      </w:r>
      <w:r>
        <w:rPr>
          <w:rFonts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19</w:t>
      </w:r>
      <w:r>
        <w:rPr>
          <w:rFonts w:ascii="宋体" w:hAnsi="宋体"/>
          <w:color w:val="000000" w:themeColor="text1"/>
          <w:szCs w:val="21"/>
          <w14:textFill>
            <w14:solidFill>
              <w14:schemeClr w14:val="tx1"/>
            </w14:solidFill>
          </w14:textFill>
        </w:rPr>
        <w:t>日</w:t>
      </w:r>
      <w:r>
        <w:rPr>
          <w:rFonts w:hint="eastAsia" w:ascii="宋体" w:hAnsi="宋体"/>
          <w:color w:val="000000" w:themeColor="text1"/>
          <w:szCs w:val="21"/>
          <w:lang w:val="en-US" w:eastAsia="zh-CN"/>
          <w14:textFill>
            <w14:solidFill>
              <w14:schemeClr w14:val="tx1"/>
            </w14:solidFill>
          </w14:textFill>
        </w:rPr>
        <w:t>9</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3</w:t>
      </w:r>
      <w:r>
        <w:rPr>
          <w:rFonts w:ascii="宋体" w:hAnsi="宋体"/>
          <w:color w:val="000000" w:themeColor="text1"/>
          <w:szCs w:val="21"/>
          <w14:textFill>
            <w14:solidFill>
              <w14:schemeClr w14:val="tx1"/>
            </w14:solidFill>
          </w14:textFill>
        </w:rPr>
        <w:t>0</w:t>
      </w:r>
    </w:p>
    <w:p>
      <w:pPr>
        <w:numPr>
          <w:ilvl w:val="1"/>
          <w:numId w:val="2"/>
        </w:numPr>
        <w:tabs>
          <w:tab w:val="left" w:pos="360"/>
        </w:tabs>
        <w:spacing w:line="440" w:lineRule="exact"/>
        <w:ind w:left="748"/>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提交投标文件地点：</w:t>
      </w:r>
      <w:r>
        <w:rPr>
          <w:rFonts w:hint="eastAsia" w:ascii="宋体" w:hAnsi="宋体"/>
          <w:color w:val="000000" w:themeColor="text1"/>
          <w:szCs w:val="21"/>
          <w14:textFill>
            <w14:solidFill>
              <w14:schemeClr w14:val="tx1"/>
            </w14:solidFill>
          </w14:textFill>
        </w:rPr>
        <w:t>东莞市公共资源交易中心开标</w:t>
      </w:r>
      <w:r>
        <w:rPr>
          <w:rFonts w:hint="eastAsia" w:ascii="宋体" w:hAnsi="宋体"/>
          <w:color w:val="000000" w:themeColor="text1"/>
          <w:szCs w:val="21"/>
          <w:lang w:val="en-US" w:eastAsia="zh-CN"/>
          <w14:textFill>
            <w14:solidFill>
              <w14:schemeClr w14:val="tx1"/>
            </w14:solidFill>
          </w14:textFill>
        </w:rPr>
        <w:t>6</w:t>
      </w:r>
      <w:r>
        <w:rPr>
          <w:rFonts w:hint="eastAsia" w:ascii="宋体" w:hAnsi="宋体"/>
          <w:color w:val="000000" w:themeColor="text1"/>
          <w:szCs w:val="21"/>
          <w14:textFill>
            <w14:solidFill>
              <w14:schemeClr w14:val="tx1"/>
            </w14:solidFill>
          </w14:textFill>
        </w:rPr>
        <w:t>室（东莞市南城区西平社区宏伟三路45号）</w:t>
      </w:r>
    </w:p>
    <w:p>
      <w:pPr>
        <w:numPr>
          <w:ilvl w:val="1"/>
          <w:numId w:val="2"/>
        </w:numPr>
        <w:tabs>
          <w:tab w:val="left" w:pos="360"/>
        </w:tabs>
        <w:spacing w:line="440" w:lineRule="exact"/>
        <w:ind w:left="748"/>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开标时间：2019年</w:t>
      </w:r>
      <w:r>
        <w:rPr>
          <w:rFonts w:hint="eastAsia" w:ascii="宋体" w:hAnsi="宋体"/>
          <w:color w:val="000000" w:themeColor="text1"/>
          <w:szCs w:val="21"/>
          <w:lang w:val="en-US" w:eastAsia="zh-CN"/>
          <w14:textFill>
            <w14:solidFill>
              <w14:schemeClr w14:val="tx1"/>
            </w14:solidFill>
          </w14:textFill>
        </w:rPr>
        <w:t>06</w:t>
      </w:r>
      <w:r>
        <w:rPr>
          <w:rFonts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19</w:t>
      </w:r>
      <w:r>
        <w:rPr>
          <w:rFonts w:ascii="宋体" w:hAnsi="宋体"/>
          <w:color w:val="000000" w:themeColor="text1"/>
          <w:szCs w:val="21"/>
          <w14:textFill>
            <w14:solidFill>
              <w14:schemeClr w14:val="tx1"/>
            </w14:solidFill>
          </w14:textFill>
        </w:rPr>
        <w:t>日</w:t>
      </w:r>
      <w:r>
        <w:rPr>
          <w:rFonts w:hint="eastAsia" w:ascii="宋体" w:hAnsi="宋体"/>
          <w:color w:val="000000" w:themeColor="text1"/>
          <w:szCs w:val="21"/>
          <w:lang w:val="en-US" w:eastAsia="zh-CN"/>
          <w14:textFill>
            <w14:solidFill>
              <w14:schemeClr w14:val="tx1"/>
            </w14:solidFill>
          </w14:textFill>
        </w:rPr>
        <w:t>9</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3</w:t>
      </w:r>
      <w:r>
        <w:rPr>
          <w:rFonts w:ascii="宋体" w:hAnsi="宋体"/>
          <w:color w:val="000000" w:themeColor="text1"/>
          <w:szCs w:val="21"/>
          <w14:textFill>
            <w14:solidFill>
              <w14:schemeClr w14:val="tx1"/>
            </w14:solidFill>
          </w14:textFill>
        </w:rPr>
        <w:t>0</w:t>
      </w:r>
    </w:p>
    <w:p>
      <w:pPr>
        <w:numPr>
          <w:ilvl w:val="1"/>
          <w:numId w:val="2"/>
        </w:numPr>
        <w:tabs>
          <w:tab w:val="left" w:pos="360"/>
        </w:tabs>
        <w:spacing w:line="440" w:lineRule="exact"/>
        <w:ind w:left="748"/>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开标地点：</w:t>
      </w:r>
      <w:r>
        <w:rPr>
          <w:rFonts w:hint="eastAsia" w:ascii="宋体" w:hAnsi="宋体"/>
          <w:color w:val="000000" w:themeColor="text1"/>
          <w:szCs w:val="21"/>
          <w14:textFill>
            <w14:solidFill>
              <w14:schemeClr w14:val="tx1"/>
            </w14:solidFill>
          </w14:textFill>
        </w:rPr>
        <w:t>东莞市公共资源交易中心开标 室（东莞市南城区西平社区宏伟三路45号）</w:t>
      </w:r>
    </w:p>
    <w:p>
      <w:pPr>
        <w:numPr>
          <w:ilvl w:val="1"/>
          <w:numId w:val="2"/>
        </w:numPr>
        <w:tabs>
          <w:tab w:val="left" w:pos="360"/>
        </w:tabs>
        <w:spacing w:line="440" w:lineRule="exact"/>
        <w:ind w:left="748"/>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联系事项</w:t>
      </w:r>
    </w:p>
    <w:tbl>
      <w:tblPr>
        <w:tblStyle w:val="20"/>
        <w:tblW w:w="8627" w:type="dxa"/>
        <w:jc w:val="center"/>
        <w:tblInd w:w="0" w:type="dxa"/>
        <w:tblLayout w:type="fixed"/>
        <w:tblCellMar>
          <w:top w:w="0" w:type="dxa"/>
          <w:left w:w="108" w:type="dxa"/>
          <w:bottom w:w="0" w:type="dxa"/>
          <w:right w:w="108" w:type="dxa"/>
        </w:tblCellMar>
      </w:tblPr>
      <w:tblGrid>
        <w:gridCol w:w="794"/>
        <w:gridCol w:w="3169"/>
        <w:gridCol w:w="350"/>
        <w:gridCol w:w="4314"/>
      </w:tblGrid>
      <w:tr>
        <w:tblPrEx>
          <w:tblLayout w:type="fixed"/>
          <w:tblCellMar>
            <w:top w:w="0" w:type="dxa"/>
            <w:left w:w="108" w:type="dxa"/>
            <w:bottom w:w="0" w:type="dxa"/>
            <w:right w:w="108" w:type="dxa"/>
          </w:tblCellMar>
        </w:tblPrEx>
        <w:trPr>
          <w:trHeight w:val="352" w:hRule="atLeast"/>
          <w:jc w:val="center"/>
        </w:trPr>
        <w:tc>
          <w:tcPr>
            <w:tcW w:w="794" w:type="dxa"/>
            <w:vAlign w:val="center"/>
          </w:tcPr>
          <w:p>
            <w:pPr>
              <w:spacing w:line="440" w:lineRule="exact"/>
              <w:ind w:firstLine="630" w:firstLineChars="300"/>
              <w:rPr>
                <w:color w:val="000000" w:themeColor="text1"/>
                <w14:textFill>
                  <w14:solidFill>
                    <w14:schemeClr w14:val="tx1"/>
                  </w14:solidFill>
                </w14:textFill>
              </w:rPr>
            </w:pPr>
          </w:p>
        </w:tc>
        <w:tc>
          <w:tcPr>
            <w:tcW w:w="7833" w:type="dxa"/>
            <w:gridSpan w:val="3"/>
            <w:vAlign w:val="center"/>
          </w:tcPr>
          <w:p>
            <w:pPr>
              <w:spacing w:line="440" w:lineRule="exact"/>
              <w:ind w:left="630" w:hanging="630" w:hangingChars="3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（一）采购</w:t>
            </w:r>
            <w:r>
              <w:rPr>
                <w:rFonts w:hint="eastAsia" w:ascii="宋体" w:hAnsi="宋体"/>
                <w:color w:val="000000" w:themeColor="text1"/>
                <w:szCs w:val="21"/>
                <w:lang w:val="zh-CN"/>
                <w14:textFill>
                  <w14:solidFill>
                    <w14:schemeClr w14:val="tx1"/>
                  </w14:solidFill>
                </w14:textFill>
              </w:rPr>
              <w:t>单位：东莞市纺织服装学校  地址：</w:t>
            </w:r>
            <w:r>
              <w:rPr>
                <w:rFonts w:hint="eastAsia" w:ascii="宋体" w:hAnsi="宋体"/>
                <w:color w:val="000000" w:themeColor="text1"/>
                <w:szCs w:val="21"/>
                <w14:textFill>
                  <w14:solidFill>
                    <w14:schemeClr w14:val="tx1"/>
                  </w14:solidFill>
                </w14:textFill>
              </w:rPr>
              <w:t xml:space="preserve"> 东莞市虎门镇环岛大道西路91号</w:t>
            </w:r>
          </w:p>
        </w:tc>
      </w:tr>
      <w:tr>
        <w:tblPrEx>
          <w:tblLayout w:type="fixed"/>
          <w:tblCellMar>
            <w:top w:w="0" w:type="dxa"/>
            <w:left w:w="108" w:type="dxa"/>
            <w:bottom w:w="0" w:type="dxa"/>
            <w:right w:w="108" w:type="dxa"/>
          </w:tblCellMar>
        </w:tblPrEx>
        <w:trPr>
          <w:trHeight w:val="352" w:hRule="atLeast"/>
          <w:jc w:val="center"/>
        </w:trPr>
        <w:tc>
          <w:tcPr>
            <w:tcW w:w="794" w:type="dxa"/>
            <w:vAlign w:val="center"/>
          </w:tcPr>
          <w:p>
            <w:pPr>
              <w:spacing w:line="440" w:lineRule="exact"/>
              <w:ind w:firstLine="630" w:firstLineChars="300"/>
              <w:rPr>
                <w:rFonts w:ascii="宋体" w:hAnsi="宋体"/>
                <w:color w:val="000000" w:themeColor="text1"/>
                <w:szCs w:val="21"/>
                <w14:textFill>
                  <w14:solidFill>
                    <w14:schemeClr w14:val="tx1"/>
                  </w14:solidFill>
                </w14:textFill>
              </w:rPr>
            </w:pPr>
          </w:p>
        </w:tc>
        <w:tc>
          <w:tcPr>
            <w:tcW w:w="3169" w:type="dxa"/>
            <w:vAlign w:val="center"/>
          </w:tcPr>
          <w:p>
            <w:pPr>
              <w:spacing w:line="440" w:lineRule="exact"/>
              <w:ind w:firstLine="630" w:firstLineChars="3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w:t>
            </w:r>
            <w:r>
              <w:rPr>
                <w:rFonts w:hint="eastAsia" w:ascii="宋体" w:hAnsi="宋体"/>
                <w:color w:val="000000" w:themeColor="text1"/>
                <w:szCs w:val="21"/>
                <w:lang w:val="en-US" w:eastAsia="zh-CN"/>
                <w14:textFill>
                  <w14:solidFill>
                    <w14:schemeClr w14:val="tx1"/>
                  </w14:solidFill>
                </w14:textFill>
              </w:rPr>
              <w:t>吴先生</w:t>
            </w:r>
            <w:bookmarkStart w:id="175" w:name="_GoBack"/>
            <w:bookmarkEnd w:id="175"/>
            <w:r>
              <w:rPr>
                <w:rFonts w:hint="eastAsia" w:ascii="宋体" w:hAnsi="宋体"/>
                <w:color w:val="000000" w:themeColor="text1"/>
                <w:szCs w:val="21"/>
                <w14:textFill>
                  <w14:solidFill>
                    <w14:schemeClr w14:val="tx1"/>
                  </w14:solidFill>
                </w14:textFill>
              </w:rPr>
              <w:t xml:space="preserve"> </w:t>
            </w:r>
          </w:p>
        </w:tc>
        <w:tc>
          <w:tcPr>
            <w:tcW w:w="350" w:type="dxa"/>
            <w:vAlign w:val="center"/>
          </w:tcPr>
          <w:p>
            <w:pPr>
              <w:spacing w:line="440" w:lineRule="exact"/>
              <w:rPr>
                <w:color w:val="000000" w:themeColor="text1"/>
                <w14:textFill>
                  <w14:solidFill>
                    <w14:schemeClr w14:val="tx1"/>
                  </w14:solidFill>
                </w14:textFill>
              </w:rPr>
            </w:pPr>
          </w:p>
        </w:tc>
        <w:tc>
          <w:tcPr>
            <w:tcW w:w="4314" w:type="dxa"/>
            <w:vAlign w:val="center"/>
          </w:tcPr>
          <w:p>
            <w:pPr>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联系电话：0769-85501959 </w:t>
            </w:r>
          </w:p>
        </w:tc>
      </w:tr>
      <w:tr>
        <w:tblPrEx>
          <w:tblLayout w:type="fixed"/>
          <w:tblCellMar>
            <w:top w:w="0" w:type="dxa"/>
            <w:left w:w="108" w:type="dxa"/>
            <w:bottom w:w="0" w:type="dxa"/>
            <w:right w:w="108" w:type="dxa"/>
          </w:tblCellMar>
        </w:tblPrEx>
        <w:trPr>
          <w:trHeight w:val="352" w:hRule="atLeast"/>
          <w:jc w:val="center"/>
        </w:trPr>
        <w:tc>
          <w:tcPr>
            <w:tcW w:w="794" w:type="dxa"/>
            <w:vAlign w:val="center"/>
          </w:tcPr>
          <w:p>
            <w:pPr>
              <w:spacing w:line="440" w:lineRule="exact"/>
              <w:ind w:firstLine="630" w:firstLineChars="300"/>
              <w:rPr>
                <w:rFonts w:ascii="宋体" w:hAnsi="宋体"/>
                <w:color w:val="000000" w:themeColor="text1"/>
                <w:szCs w:val="21"/>
                <w14:textFill>
                  <w14:solidFill>
                    <w14:schemeClr w14:val="tx1"/>
                  </w14:solidFill>
                </w14:textFill>
              </w:rPr>
            </w:pPr>
          </w:p>
        </w:tc>
        <w:tc>
          <w:tcPr>
            <w:tcW w:w="3169" w:type="dxa"/>
            <w:vAlign w:val="center"/>
          </w:tcPr>
          <w:p>
            <w:pPr>
              <w:spacing w:line="440" w:lineRule="exact"/>
              <w:ind w:firstLine="630" w:firstLineChars="3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传真：/</w:t>
            </w:r>
          </w:p>
        </w:tc>
        <w:tc>
          <w:tcPr>
            <w:tcW w:w="350" w:type="dxa"/>
            <w:vAlign w:val="center"/>
          </w:tcPr>
          <w:p>
            <w:pPr>
              <w:spacing w:line="440" w:lineRule="exact"/>
              <w:rPr>
                <w:color w:val="000000" w:themeColor="text1"/>
                <w14:textFill>
                  <w14:solidFill>
                    <w14:schemeClr w14:val="tx1"/>
                  </w14:solidFill>
                </w14:textFill>
              </w:rPr>
            </w:pPr>
          </w:p>
        </w:tc>
        <w:tc>
          <w:tcPr>
            <w:tcW w:w="4314" w:type="dxa"/>
            <w:vAlign w:val="center"/>
          </w:tcPr>
          <w:p>
            <w:pPr>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邮编：523000</w:t>
            </w:r>
          </w:p>
        </w:tc>
      </w:tr>
      <w:tr>
        <w:tblPrEx>
          <w:tblLayout w:type="fixed"/>
          <w:tblCellMar>
            <w:top w:w="0" w:type="dxa"/>
            <w:left w:w="108" w:type="dxa"/>
            <w:bottom w:w="0" w:type="dxa"/>
            <w:right w:w="108" w:type="dxa"/>
          </w:tblCellMar>
        </w:tblPrEx>
        <w:trPr>
          <w:trHeight w:val="352" w:hRule="atLeast"/>
          <w:jc w:val="center"/>
        </w:trPr>
        <w:tc>
          <w:tcPr>
            <w:tcW w:w="794" w:type="dxa"/>
            <w:vAlign w:val="center"/>
          </w:tcPr>
          <w:p>
            <w:pPr>
              <w:spacing w:line="440" w:lineRule="exact"/>
              <w:rPr>
                <w:rFonts w:ascii="宋体" w:hAnsi="宋体"/>
                <w:color w:val="000000" w:themeColor="text1"/>
                <w:szCs w:val="21"/>
                <w14:textFill>
                  <w14:solidFill>
                    <w14:schemeClr w14:val="tx1"/>
                  </w14:solidFill>
                </w14:textFill>
              </w:rPr>
            </w:pPr>
          </w:p>
        </w:tc>
        <w:tc>
          <w:tcPr>
            <w:tcW w:w="7833" w:type="dxa"/>
            <w:gridSpan w:val="3"/>
            <w:vAlign w:val="center"/>
          </w:tcPr>
          <w:p>
            <w:pPr>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（二）采购代理机构：广东旭腾项目管理有限公司  地址：</w:t>
            </w:r>
            <w:r>
              <w:rPr>
                <w:rFonts w:hint="eastAsia" w:ascii="宋体" w:hAnsi="宋体"/>
                <w:bCs/>
                <w:color w:val="000000" w:themeColor="text1"/>
                <w:szCs w:val="21"/>
                <w14:textFill>
                  <w14:solidFill>
                    <w14:schemeClr w14:val="tx1"/>
                  </w14:solidFill>
                </w14:textFill>
              </w:rPr>
              <w:t>东莞市莞城街道兴塘社区东城西路266号城市花园A座办公楼1010号</w:t>
            </w:r>
          </w:p>
        </w:tc>
      </w:tr>
      <w:tr>
        <w:tblPrEx>
          <w:tblLayout w:type="fixed"/>
          <w:tblCellMar>
            <w:top w:w="0" w:type="dxa"/>
            <w:left w:w="108" w:type="dxa"/>
            <w:bottom w:w="0" w:type="dxa"/>
            <w:right w:w="108" w:type="dxa"/>
          </w:tblCellMar>
        </w:tblPrEx>
        <w:trPr>
          <w:trHeight w:val="352" w:hRule="atLeast"/>
          <w:jc w:val="center"/>
        </w:trPr>
        <w:tc>
          <w:tcPr>
            <w:tcW w:w="794" w:type="dxa"/>
            <w:vAlign w:val="center"/>
          </w:tcPr>
          <w:p>
            <w:pPr>
              <w:spacing w:line="440" w:lineRule="exact"/>
              <w:ind w:firstLine="630" w:firstLineChars="300"/>
              <w:rPr>
                <w:rFonts w:ascii="宋体" w:hAnsi="宋体"/>
                <w:color w:val="000000" w:themeColor="text1"/>
                <w:szCs w:val="21"/>
                <w14:textFill>
                  <w14:solidFill>
                    <w14:schemeClr w14:val="tx1"/>
                  </w14:solidFill>
                </w14:textFill>
              </w:rPr>
            </w:pPr>
          </w:p>
        </w:tc>
        <w:tc>
          <w:tcPr>
            <w:tcW w:w="3169" w:type="dxa"/>
            <w:vAlign w:val="center"/>
          </w:tcPr>
          <w:p>
            <w:pPr>
              <w:spacing w:line="440" w:lineRule="exact"/>
              <w:ind w:firstLine="630" w:firstLineChars="3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联系人：杨先生</w:t>
            </w:r>
          </w:p>
        </w:tc>
        <w:tc>
          <w:tcPr>
            <w:tcW w:w="350" w:type="dxa"/>
            <w:vAlign w:val="center"/>
          </w:tcPr>
          <w:p>
            <w:pPr>
              <w:spacing w:line="440" w:lineRule="exact"/>
              <w:rPr>
                <w:color w:val="000000" w:themeColor="text1"/>
                <w14:textFill>
                  <w14:solidFill>
                    <w14:schemeClr w14:val="tx1"/>
                  </w14:solidFill>
                </w14:textFill>
              </w:rPr>
            </w:pPr>
          </w:p>
        </w:tc>
        <w:tc>
          <w:tcPr>
            <w:tcW w:w="4314" w:type="dxa"/>
            <w:vAlign w:val="center"/>
          </w:tcPr>
          <w:p>
            <w:pPr>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联系电话：0769-22457332</w:t>
            </w:r>
          </w:p>
        </w:tc>
      </w:tr>
      <w:tr>
        <w:tblPrEx>
          <w:tblLayout w:type="fixed"/>
          <w:tblCellMar>
            <w:top w:w="0" w:type="dxa"/>
            <w:left w:w="108" w:type="dxa"/>
            <w:bottom w:w="0" w:type="dxa"/>
            <w:right w:w="108" w:type="dxa"/>
          </w:tblCellMar>
        </w:tblPrEx>
        <w:trPr>
          <w:trHeight w:val="352" w:hRule="atLeast"/>
          <w:jc w:val="center"/>
        </w:trPr>
        <w:tc>
          <w:tcPr>
            <w:tcW w:w="794" w:type="dxa"/>
            <w:vAlign w:val="center"/>
          </w:tcPr>
          <w:p>
            <w:pPr>
              <w:spacing w:line="440" w:lineRule="exact"/>
              <w:ind w:firstLine="630" w:firstLineChars="300"/>
              <w:rPr>
                <w:rFonts w:ascii="宋体" w:hAnsi="宋体"/>
                <w:color w:val="000000" w:themeColor="text1"/>
                <w:szCs w:val="21"/>
                <w14:textFill>
                  <w14:solidFill>
                    <w14:schemeClr w14:val="tx1"/>
                  </w14:solidFill>
                </w14:textFill>
              </w:rPr>
            </w:pPr>
          </w:p>
        </w:tc>
        <w:tc>
          <w:tcPr>
            <w:tcW w:w="3169" w:type="dxa"/>
            <w:vAlign w:val="center"/>
          </w:tcPr>
          <w:p>
            <w:pPr>
              <w:spacing w:line="440" w:lineRule="exact"/>
              <w:ind w:firstLine="630" w:firstLineChars="3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传真：/</w:t>
            </w:r>
          </w:p>
        </w:tc>
        <w:tc>
          <w:tcPr>
            <w:tcW w:w="350" w:type="dxa"/>
            <w:vAlign w:val="center"/>
          </w:tcPr>
          <w:p>
            <w:pPr>
              <w:spacing w:line="440" w:lineRule="exact"/>
              <w:rPr>
                <w:color w:val="000000" w:themeColor="text1"/>
                <w14:textFill>
                  <w14:solidFill>
                    <w14:schemeClr w14:val="tx1"/>
                  </w14:solidFill>
                </w14:textFill>
              </w:rPr>
            </w:pPr>
          </w:p>
        </w:tc>
        <w:tc>
          <w:tcPr>
            <w:tcW w:w="4314" w:type="dxa"/>
            <w:vAlign w:val="center"/>
          </w:tcPr>
          <w:p>
            <w:pPr>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邮编：</w:t>
            </w:r>
            <w:r>
              <w:rPr>
                <w:rFonts w:hint="eastAsia" w:ascii="宋体" w:hAnsi="宋体" w:cs="宋体"/>
                <w:color w:val="000000" w:themeColor="text1"/>
                <w:szCs w:val="21"/>
                <w14:textFill>
                  <w14:solidFill>
                    <w14:schemeClr w14:val="tx1"/>
                  </w14:solidFill>
                </w14:textFill>
              </w:rPr>
              <w:t>523000</w:t>
            </w:r>
          </w:p>
        </w:tc>
      </w:tr>
      <w:tr>
        <w:tblPrEx>
          <w:tblLayout w:type="fixed"/>
          <w:tblCellMar>
            <w:top w:w="0" w:type="dxa"/>
            <w:left w:w="108" w:type="dxa"/>
            <w:bottom w:w="0" w:type="dxa"/>
            <w:right w:w="108" w:type="dxa"/>
          </w:tblCellMar>
        </w:tblPrEx>
        <w:trPr>
          <w:trHeight w:val="352" w:hRule="atLeast"/>
          <w:jc w:val="center"/>
        </w:trPr>
        <w:tc>
          <w:tcPr>
            <w:tcW w:w="794" w:type="dxa"/>
            <w:vAlign w:val="center"/>
          </w:tcPr>
          <w:p>
            <w:pPr>
              <w:spacing w:line="440" w:lineRule="exact"/>
              <w:rPr>
                <w:rFonts w:ascii="宋体" w:hAnsi="宋体"/>
                <w:b/>
                <w:color w:val="000000" w:themeColor="text1"/>
                <w:szCs w:val="21"/>
                <w14:textFill>
                  <w14:solidFill>
                    <w14:schemeClr w14:val="tx1"/>
                  </w14:solidFill>
                </w14:textFill>
              </w:rPr>
            </w:pPr>
          </w:p>
        </w:tc>
        <w:tc>
          <w:tcPr>
            <w:tcW w:w="3169" w:type="dxa"/>
            <w:vAlign w:val="center"/>
          </w:tcPr>
          <w:p>
            <w:pPr>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（三）采购项目联系人：杨先生</w:t>
            </w:r>
          </w:p>
        </w:tc>
        <w:tc>
          <w:tcPr>
            <w:tcW w:w="350" w:type="dxa"/>
            <w:vAlign w:val="center"/>
          </w:tcPr>
          <w:p>
            <w:pPr>
              <w:spacing w:line="440" w:lineRule="exact"/>
              <w:rPr>
                <w:color w:val="000000" w:themeColor="text1"/>
                <w14:textFill>
                  <w14:solidFill>
                    <w14:schemeClr w14:val="tx1"/>
                  </w14:solidFill>
                </w14:textFill>
              </w:rPr>
            </w:pPr>
          </w:p>
        </w:tc>
        <w:tc>
          <w:tcPr>
            <w:tcW w:w="4314" w:type="dxa"/>
            <w:vAlign w:val="center"/>
          </w:tcPr>
          <w:p>
            <w:pPr>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联系电话：0769-22457332</w:t>
            </w:r>
          </w:p>
        </w:tc>
      </w:tr>
    </w:tbl>
    <w:p>
      <w:pPr>
        <w:spacing w:line="440" w:lineRule="exact"/>
        <w:jc w:val="right"/>
        <w:rPr>
          <w:rFonts w:ascii="宋体" w:hAnsi="宋体"/>
          <w:b/>
          <w:bCs/>
          <w:color w:val="000000" w:themeColor="text1"/>
          <w:szCs w:val="21"/>
          <w14:textFill>
            <w14:solidFill>
              <w14:schemeClr w14:val="tx1"/>
            </w14:solidFill>
          </w14:textFill>
        </w:rPr>
      </w:pPr>
    </w:p>
    <w:p>
      <w:pPr>
        <w:spacing w:line="440" w:lineRule="exact"/>
        <w:jc w:val="right"/>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广东旭腾项目管理有限公司</w:t>
      </w:r>
    </w:p>
    <w:p>
      <w:pPr>
        <w:spacing w:line="360" w:lineRule="auto"/>
        <w:ind w:firstLine="422" w:firstLineChars="200"/>
        <w:jc w:val="right"/>
        <w:rPr>
          <w:rFonts w:ascii="宋体" w:hAnsi="宋体" w:eastAsia="宋体" w:cs="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2019年</w:t>
      </w:r>
      <w:r>
        <w:rPr>
          <w:rFonts w:hint="eastAsia" w:ascii="宋体" w:hAnsi="宋体"/>
          <w:b/>
          <w:bCs/>
          <w:color w:val="000000" w:themeColor="text1"/>
          <w:szCs w:val="21"/>
          <w:lang w:val="en-US" w:eastAsia="zh-CN"/>
          <w14:textFill>
            <w14:solidFill>
              <w14:schemeClr w14:val="tx1"/>
            </w14:solidFill>
          </w14:textFill>
        </w:rPr>
        <w:t>05</w:t>
      </w:r>
      <w:r>
        <w:rPr>
          <w:rFonts w:hint="eastAsia" w:ascii="宋体" w:hAnsi="宋体"/>
          <w:b/>
          <w:bCs/>
          <w:color w:val="000000" w:themeColor="text1"/>
          <w:szCs w:val="21"/>
          <w14:textFill>
            <w14:solidFill>
              <w14:schemeClr w14:val="tx1"/>
            </w14:solidFill>
          </w14:textFill>
        </w:rPr>
        <w:t>月</w:t>
      </w:r>
      <w:r>
        <w:rPr>
          <w:rFonts w:hint="eastAsia" w:ascii="宋体" w:hAnsi="宋体"/>
          <w:b/>
          <w:bCs/>
          <w:color w:val="000000" w:themeColor="text1"/>
          <w:szCs w:val="21"/>
          <w:lang w:val="en-US" w:eastAsia="zh-CN"/>
          <w14:textFill>
            <w14:solidFill>
              <w14:schemeClr w14:val="tx1"/>
            </w14:solidFill>
          </w14:textFill>
        </w:rPr>
        <w:t>28</w:t>
      </w:r>
      <w:r>
        <w:rPr>
          <w:rFonts w:hint="eastAsia" w:ascii="宋体" w:hAnsi="宋体"/>
          <w:b/>
          <w:bCs/>
          <w:color w:val="000000" w:themeColor="text1"/>
          <w:szCs w:val="21"/>
          <w14:textFill>
            <w14:solidFill>
              <w14:schemeClr w14:val="tx1"/>
            </w14:solidFill>
          </w14:textFill>
        </w:rPr>
        <w:t>日</w:t>
      </w:r>
    </w:p>
    <w:p>
      <w:pPr>
        <w:pStyle w:val="3"/>
        <w:keepNext w:val="0"/>
        <w:keepLines w:val="0"/>
        <w:pageBreakBefore/>
        <w:spacing w:line="360" w:lineRule="auto"/>
        <w:jc w:val="center"/>
        <w:rPr>
          <w:rFonts w:ascii="宋体" w:hAnsi="宋体" w:eastAsia="宋体" w:cs="宋体"/>
          <w:color w:val="000000" w:themeColor="text1"/>
          <w:spacing w:val="20"/>
          <w:sz w:val="32"/>
          <w:szCs w:val="32"/>
          <w14:textFill>
            <w14:solidFill>
              <w14:schemeClr w14:val="tx1"/>
            </w14:solidFill>
          </w14:textFill>
        </w:rPr>
        <w:sectPr>
          <w:footerReference r:id="rId13" w:type="default"/>
          <w:pgSz w:w="11906" w:h="16838"/>
          <w:pgMar w:top="1701" w:right="1797" w:bottom="1304" w:left="1797" w:header="851" w:footer="680" w:gutter="0"/>
          <w:pgNumType w:start="1"/>
          <w:cols w:space="425" w:num="1"/>
          <w:docGrid w:type="lines" w:linePitch="312" w:charSpace="0"/>
        </w:sectPr>
      </w:pPr>
    </w:p>
    <w:p>
      <w:pPr>
        <w:pStyle w:val="3"/>
        <w:keepNext w:val="0"/>
        <w:keepLines w:val="0"/>
        <w:pageBreakBefore/>
        <w:numPr>
          <w:ilvl w:val="0"/>
          <w:numId w:val="7"/>
        </w:numPr>
        <w:spacing w:before="120" w:after="120" w:line="360" w:lineRule="auto"/>
        <w:jc w:val="center"/>
        <w:rPr>
          <w:rFonts w:ascii="宋体" w:hAnsi="宋体" w:eastAsia="宋体" w:cs="宋体"/>
          <w:color w:val="000000" w:themeColor="text1"/>
          <w:spacing w:val="20"/>
          <w:sz w:val="32"/>
          <w:szCs w:val="32"/>
          <w14:textFill>
            <w14:solidFill>
              <w14:schemeClr w14:val="tx1"/>
            </w14:solidFill>
          </w14:textFill>
        </w:rPr>
      </w:pPr>
      <w:bookmarkStart w:id="6" w:name="_Toc7705"/>
      <w:bookmarkStart w:id="7" w:name="_Toc11369"/>
      <w:bookmarkStart w:id="8" w:name="_Toc486922796"/>
      <w:r>
        <w:rPr>
          <w:rFonts w:hint="eastAsia" w:ascii="宋体" w:hAnsi="宋体" w:eastAsia="宋体" w:cs="宋体"/>
          <w:color w:val="000000" w:themeColor="text1"/>
          <w:spacing w:val="20"/>
          <w:sz w:val="32"/>
          <w:szCs w:val="32"/>
          <w14:textFill>
            <w14:solidFill>
              <w14:schemeClr w14:val="tx1"/>
            </w14:solidFill>
          </w14:textFill>
        </w:rPr>
        <w:t>用户需求</w:t>
      </w:r>
      <w:bookmarkEnd w:id="6"/>
      <w:bookmarkEnd w:id="7"/>
      <w:bookmarkEnd w:id="8"/>
    </w:p>
    <w:p>
      <w:pPr>
        <w:numPr>
          <w:ilvl w:val="0"/>
          <w:numId w:val="8"/>
        </w:numPr>
        <w:spacing w:line="360" w:lineRule="auto"/>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总体要求</w:t>
      </w:r>
    </w:p>
    <w:p>
      <w:pPr>
        <w:spacing w:line="360" w:lineRule="auto"/>
        <w:ind w:left="420" w:hanging="420" w:hangingChars="200"/>
        <w:rPr>
          <w:rFonts w:ascii="宋体" w:hAnsi="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 xml:space="preserve">   </w:t>
      </w:r>
      <w:r>
        <w:rPr>
          <w:rFonts w:hint="eastAsia" w:ascii="宋体" w:hAnsi="宋体" w:cs="宋体"/>
          <w:bCs/>
          <w:color w:val="000000" w:themeColor="text1"/>
          <w:szCs w:val="21"/>
          <w:u w:val="single"/>
          <w14:textFill>
            <w14:solidFill>
              <w14:schemeClr w14:val="tx1"/>
            </w14:solidFill>
          </w14:textFill>
        </w:rPr>
        <w:t>1、本招标文件采购人需求书中，凡标有“★”的地方均被视为主要条款。投标人要特别加以注意，必须对此回答并完全满足或优于这些要求。否则若有一项带“★”的条款未响应或不满足，将按无效标处理。标有“▲”号条款视为重要条款，如果不满足该条款将导致严重扣分。</w:t>
      </w:r>
    </w:p>
    <w:p>
      <w:pPr>
        <w:spacing w:line="360" w:lineRule="auto"/>
        <w:ind w:left="420" w:hanging="420" w:hangingChars="200"/>
        <w:rPr>
          <w:rFonts w:ascii="宋体" w:hAnsi="宋体" w:cs="宋体"/>
          <w:bCs/>
          <w:color w:val="000000" w:themeColor="text1"/>
          <w:szCs w:val="21"/>
          <w:u w:val="single"/>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 xml:space="preserve">  </w:t>
      </w:r>
      <w:r>
        <w:rPr>
          <w:rFonts w:hint="eastAsia" w:ascii="宋体" w:hAnsi="宋体" w:cs="宋体"/>
          <w:bCs/>
          <w:color w:val="000000" w:themeColor="text1"/>
          <w:szCs w:val="21"/>
          <w:u w:val="single"/>
          <w14:textFill>
            <w14:solidFill>
              <w14:schemeClr w14:val="tx1"/>
            </w14:solidFill>
          </w14:textFill>
        </w:rPr>
        <w:t>★2、投标人如果不是主要产品（POE交换机、网络摄像机、智能球机、网络存储设备、平台管理软件、热成像摄像机、超脑NVR）生产厂家，须在招标代理机构发出中标公示后3天内提供加盖生产厂商公章的服务承诺函、授权书和技术指标确认函原件给招标代理机构或采购人。</w:t>
      </w:r>
    </w:p>
    <w:p>
      <w:pPr>
        <w:spacing w:line="360" w:lineRule="auto"/>
        <w:ind w:left="420" w:hanging="420" w:hangingChars="200"/>
        <w:rPr>
          <w:rFonts w:ascii="宋体" w:hAnsi="宋体" w:cs="宋体"/>
          <w:bCs/>
          <w:color w:val="000000" w:themeColor="text1"/>
          <w:szCs w:val="21"/>
          <w:u w:val="single"/>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 xml:space="preserve">  </w:t>
      </w:r>
      <w:r>
        <w:rPr>
          <w:rFonts w:hint="eastAsia" w:ascii="宋体" w:hAnsi="宋体" w:cs="宋体"/>
          <w:bCs/>
          <w:color w:val="000000" w:themeColor="text1"/>
          <w:szCs w:val="21"/>
          <w:u w:val="single"/>
          <w14:textFill>
            <w14:solidFill>
              <w14:schemeClr w14:val="tx1"/>
            </w14:solidFill>
          </w14:textFill>
        </w:rPr>
        <w:t>★</w:t>
      </w:r>
      <w:r>
        <w:rPr>
          <w:rFonts w:ascii="宋体" w:hAnsi="宋体" w:cs="宋体"/>
          <w:bCs/>
          <w:color w:val="000000" w:themeColor="text1"/>
          <w:szCs w:val="21"/>
          <w:u w:val="single"/>
          <w14:textFill>
            <w14:solidFill>
              <w14:schemeClr w14:val="tx1"/>
            </w14:solidFill>
          </w14:textFill>
        </w:rPr>
        <w:t>3</w:t>
      </w:r>
      <w:r>
        <w:rPr>
          <w:rFonts w:hint="eastAsia" w:ascii="宋体" w:hAnsi="宋体" w:cs="宋体"/>
          <w:bCs/>
          <w:color w:val="000000" w:themeColor="text1"/>
          <w:szCs w:val="21"/>
          <w:u w:val="single"/>
          <w14:textFill>
            <w14:solidFill>
              <w14:schemeClr w14:val="tx1"/>
            </w14:solidFill>
          </w14:textFill>
        </w:rPr>
        <w:t>、投标人必须承诺在中标后签订合同前，采购人有权要求投标人提供中标的主要产品（POE交换机、网络摄像机、智能球机、网络存储设备、平台管理软件、热成像摄像机、超脑NVR）按照标书性能参数进行核对。核对结果与投标文件不符的视为虚假承诺，并报广东省政府采购监管部门进行处理，导致整批货物被拒收和索赔，由此引发的所有损失由中标人负责。（承诺书格式由投标人自拟）</w:t>
      </w:r>
    </w:p>
    <w:p>
      <w:pPr>
        <w:pStyle w:val="17"/>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二、项目概况</w:t>
      </w:r>
    </w:p>
    <w:p>
      <w:pPr>
        <w:pStyle w:val="17"/>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1、项目名称：</w:t>
      </w:r>
      <w:r>
        <w:rPr>
          <w:rFonts w:hint="eastAsia" w:ascii="宋体" w:hAnsi="宋体"/>
          <w:color w:val="000000" w:themeColor="text1"/>
          <w:sz w:val="21"/>
          <w:szCs w:val="21"/>
          <w:lang w:eastAsia="zh-CN"/>
          <w14:textFill>
            <w14:solidFill>
              <w14:schemeClr w14:val="tx1"/>
            </w14:solidFill>
          </w14:textFill>
        </w:rPr>
        <w:t>校园网络及监控、广播系统升级改造项目</w:t>
      </w:r>
      <w:r>
        <w:rPr>
          <w:rFonts w:hint="eastAsia" w:ascii="宋体" w:hAnsi="宋体"/>
          <w:color w:val="000000" w:themeColor="text1"/>
          <w:sz w:val="21"/>
          <w:szCs w:val="21"/>
          <w14:textFill>
            <w14:solidFill>
              <w14:schemeClr w14:val="tx1"/>
            </w14:solidFill>
          </w14:textFill>
        </w:rPr>
        <w:t>。</w:t>
      </w:r>
    </w:p>
    <w:p>
      <w:pPr>
        <w:pStyle w:val="17"/>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2、交货地点：</w:t>
      </w:r>
      <w:r>
        <w:rPr>
          <w:rFonts w:hint="eastAsia" w:ascii="宋体" w:hAnsi="宋体"/>
          <w:color w:val="000000" w:themeColor="text1"/>
          <w:sz w:val="21"/>
          <w:szCs w:val="21"/>
          <w:lang w:eastAsia="zh-CN"/>
          <w14:textFill>
            <w14:solidFill>
              <w14:schemeClr w14:val="tx1"/>
            </w14:solidFill>
          </w14:textFill>
        </w:rPr>
        <w:t>东莞市纺织服装学校</w:t>
      </w:r>
      <w:r>
        <w:rPr>
          <w:rFonts w:hint="eastAsia" w:ascii="宋体" w:hAnsi="宋体"/>
          <w:color w:val="000000" w:themeColor="text1"/>
          <w:sz w:val="21"/>
          <w:szCs w:val="21"/>
          <w14:textFill>
            <w14:solidFill>
              <w14:schemeClr w14:val="tx1"/>
            </w14:solidFill>
          </w14:textFill>
        </w:rPr>
        <w:t>或采购人指定地点。</w:t>
      </w:r>
    </w:p>
    <w:p>
      <w:pPr>
        <w:pStyle w:val="33"/>
        <w:spacing w:line="360" w:lineRule="auto"/>
        <w:ind w:firstLine="0" w:firstLineChars="0"/>
        <w:rPr>
          <w:rFonts w:ascii="宋体" w:eastAsia="宋体"/>
          <w:color w:val="000000" w:themeColor="text1"/>
          <w:sz w:val="21"/>
          <w:szCs w:val="21"/>
          <w:highlight w:val="none"/>
          <w14:textFill>
            <w14:solidFill>
              <w14:schemeClr w14:val="tx1"/>
            </w14:solidFill>
          </w14:textFill>
        </w:rPr>
      </w:pPr>
      <w:r>
        <w:rPr>
          <w:rFonts w:hint="eastAsia" w:ascii="宋体" w:eastAsia="宋体"/>
          <w:color w:val="000000" w:themeColor="text1"/>
          <w:sz w:val="21"/>
          <w:szCs w:val="21"/>
          <w:highlight w:val="none"/>
          <w14:textFill>
            <w14:solidFill>
              <w14:schemeClr w14:val="tx1"/>
            </w14:solidFill>
          </w14:textFill>
        </w:rPr>
        <w:t>3、采购预算：人民币</w:t>
      </w:r>
      <w:r>
        <w:rPr>
          <w:rFonts w:ascii="宋体" w:eastAsia="宋体"/>
          <w:color w:val="000000" w:themeColor="text1"/>
          <w:sz w:val="21"/>
          <w:szCs w:val="21"/>
          <w:highlight w:val="none"/>
          <w14:textFill>
            <w14:solidFill>
              <w14:schemeClr w14:val="tx1"/>
            </w14:solidFill>
          </w14:textFill>
        </w:rPr>
        <w:fldChar w:fldCharType="begin"/>
      </w:r>
      <w:r>
        <w:rPr>
          <w:rFonts w:ascii="宋体" w:eastAsia="宋体"/>
          <w:color w:val="000000" w:themeColor="text1"/>
          <w:sz w:val="21"/>
          <w:szCs w:val="21"/>
          <w:highlight w:val="none"/>
          <w14:textFill>
            <w14:solidFill>
              <w14:schemeClr w14:val="tx1"/>
            </w14:solidFill>
          </w14:textFill>
        </w:rPr>
        <w:instrText xml:space="preserve"> </w:instrText>
      </w:r>
      <w:r>
        <w:rPr>
          <w:rFonts w:hint="eastAsia" w:ascii="宋体" w:eastAsia="宋体"/>
          <w:color w:val="000000" w:themeColor="text1"/>
          <w:sz w:val="21"/>
          <w:szCs w:val="21"/>
          <w:highlight w:val="none"/>
          <w14:textFill>
            <w14:solidFill>
              <w14:schemeClr w14:val="tx1"/>
            </w14:solidFill>
          </w14:textFill>
        </w:rPr>
        <w:instrText xml:space="preserve">= 2032800 \* CHINESENUM2</w:instrText>
      </w:r>
      <w:r>
        <w:rPr>
          <w:rFonts w:ascii="宋体" w:eastAsia="宋体"/>
          <w:color w:val="000000" w:themeColor="text1"/>
          <w:sz w:val="21"/>
          <w:szCs w:val="21"/>
          <w:highlight w:val="none"/>
          <w14:textFill>
            <w14:solidFill>
              <w14:schemeClr w14:val="tx1"/>
            </w14:solidFill>
          </w14:textFill>
        </w:rPr>
        <w:instrText xml:space="preserve"> </w:instrText>
      </w:r>
      <w:r>
        <w:rPr>
          <w:rFonts w:ascii="宋体" w:eastAsia="宋体"/>
          <w:color w:val="000000" w:themeColor="text1"/>
          <w:sz w:val="21"/>
          <w:szCs w:val="21"/>
          <w:highlight w:val="none"/>
          <w14:textFill>
            <w14:solidFill>
              <w14:schemeClr w14:val="tx1"/>
            </w14:solidFill>
          </w14:textFill>
        </w:rPr>
        <w:fldChar w:fldCharType="separate"/>
      </w:r>
      <w:r>
        <w:rPr>
          <w:rFonts w:hint="eastAsia" w:ascii="宋体" w:eastAsia="宋体"/>
          <w:color w:val="000000" w:themeColor="text1"/>
          <w:sz w:val="21"/>
          <w:szCs w:val="21"/>
          <w:highlight w:val="none"/>
          <w14:textFill>
            <w14:solidFill>
              <w14:schemeClr w14:val="tx1"/>
            </w14:solidFill>
          </w14:textFill>
        </w:rPr>
        <w:t>壹佰玖拾玖万捌仟</w:t>
      </w:r>
      <w:r>
        <w:rPr>
          <w:rFonts w:ascii="宋体" w:eastAsia="宋体"/>
          <w:color w:val="000000" w:themeColor="text1"/>
          <w:sz w:val="21"/>
          <w:szCs w:val="21"/>
          <w:highlight w:val="none"/>
          <w14:textFill>
            <w14:solidFill>
              <w14:schemeClr w14:val="tx1"/>
            </w14:solidFill>
          </w14:textFill>
        </w:rPr>
        <w:fldChar w:fldCharType="end"/>
      </w:r>
      <w:r>
        <w:rPr>
          <w:rFonts w:hint="eastAsia" w:ascii="宋体" w:eastAsia="宋体"/>
          <w:color w:val="000000" w:themeColor="text1"/>
          <w:sz w:val="21"/>
          <w:szCs w:val="21"/>
          <w:highlight w:val="none"/>
          <w14:textFill>
            <w14:solidFill>
              <w14:schemeClr w14:val="tx1"/>
            </w14:solidFill>
          </w14:textFill>
        </w:rPr>
        <w:t>元整(￥</w:t>
      </w:r>
      <w:r>
        <w:rPr>
          <w:rFonts w:ascii="宋体" w:eastAsia="宋体"/>
          <w:color w:val="000000" w:themeColor="text1"/>
          <w:sz w:val="21"/>
          <w:szCs w:val="21"/>
          <w:highlight w:val="none"/>
          <w14:textFill>
            <w14:solidFill>
              <w14:schemeClr w14:val="tx1"/>
            </w14:solidFill>
          </w14:textFill>
        </w:rPr>
        <w:t>1</w:t>
      </w:r>
      <w:r>
        <w:rPr>
          <w:rFonts w:hint="eastAsia" w:ascii="宋体" w:eastAsia="宋体"/>
          <w:color w:val="000000" w:themeColor="text1"/>
          <w:sz w:val="21"/>
          <w:szCs w:val="21"/>
          <w:highlight w:val="none"/>
          <w14:textFill>
            <w14:solidFill>
              <w14:schemeClr w14:val="tx1"/>
            </w14:solidFill>
          </w14:textFill>
        </w:rPr>
        <w:t>,</w:t>
      </w:r>
      <w:r>
        <w:rPr>
          <w:rFonts w:ascii="宋体" w:eastAsia="宋体"/>
          <w:color w:val="000000" w:themeColor="text1"/>
          <w:sz w:val="21"/>
          <w:szCs w:val="21"/>
          <w:highlight w:val="none"/>
          <w14:textFill>
            <w14:solidFill>
              <w14:schemeClr w14:val="tx1"/>
            </w14:solidFill>
          </w14:textFill>
        </w:rPr>
        <w:t>998</w:t>
      </w:r>
      <w:r>
        <w:rPr>
          <w:rFonts w:hint="eastAsia" w:ascii="宋体" w:eastAsia="宋体"/>
          <w:color w:val="000000" w:themeColor="text1"/>
          <w:sz w:val="21"/>
          <w:szCs w:val="21"/>
          <w:highlight w:val="none"/>
          <w14:textFill>
            <w14:solidFill>
              <w14:schemeClr w14:val="tx1"/>
            </w14:solidFill>
          </w14:textFill>
        </w:rPr>
        <w:t>,</w:t>
      </w:r>
      <w:r>
        <w:rPr>
          <w:rFonts w:ascii="宋体" w:eastAsia="宋体"/>
          <w:color w:val="000000" w:themeColor="text1"/>
          <w:sz w:val="21"/>
          <w:szCs w:val="21"/>
          <w:highlight w:val="none"/>
          <w14:textFill>
            <w14:solidFill>
              <w14:schemeClr w14:val="tx1"/>
            </w14:solidFill>
          </w14:textFill>
        </w:rPr>
        <w:t>000</w:t>
      </w:r>
      <w:r>
        <w:rPr>
          <w:rFonts w:hint="eastAsia" w:ascii="宋体" w:eastAsia="宋体"/>
          <w:color w:val="000000" w:themeColor="text1"/>
          <w:sz w:val="21"/>
          <w:szCs w:val="21"/>
          <w:highlight w:val="none"/>
          <w14:textFill>
            <w14:solidFill>
              <w14:schemeClr w14:val="tx1"/>
            </w14:solidFill>
          </w14:textFill>
        </w:rPr>
        <w:t>.00元）。</w:t>
      </w:r>
    </w:p>
    <w:p>
      <w:pPr>
        <w:adjustRightInd w:val="0"/>
        <w:spacing w:before="156" w:beforeLines="50" w:line="360" w:lineRule="auto"/>
        <w:outlineLvl w:val="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三、采购清单及设备性能</w:t>
      </w:r>
    </w:p>
    <w:tbl>
      <w:tblPr>
        <w:tblStyle w:val="20"/>
        <w:tblW w:w="9072"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489"/>
        <w:gridCol w:w="4677"/>
        <w:gridCol w:w="851"/>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序号</w:t>
            </w:r>
          </w:p>
        </w:tc>
        <w:tc>
          <w:tcPr>
            <w:tcW w:w="1489" w:type="dxa"/>
            <w:shd w:val="clear" w:color="000000" w:fill="FFFFFF"/>
            <w:vAlign w:val="center"/>
          </w:tcPr>
          <w:p>
            <w:pPr>
              <w:widowControl/>
              <w:spacing w:line="360" w:lineRule="auto"/>
              <w:jc w:val="left"/>
              <w:rPr>
                <w:rFonts w:ascii="宋体" w:hAnsi="宋体" w:cs="宋体"/>
                <w:b/>
                <w:bCs/>
                <w:kern w:val="0"/>
                <w:szCs w:val="21"/>
              </w:rPr>
            </w:pPr>
            <w:r>
              <w:rPr>
                <w:rFonts w:hint="eastAsia" w:ascii="宋体" w:hAnsi="宋体" w:cs="宋体"/>
                <w:b/>
                <w:bCs/>
                <w:kern w:val="0"/>
                <w:szCs w:val="21"/>
              </w:rPr>
              <w:t>产品名称</w:t>
            </w:r>
          </w:p>
        </w:tc>
        <w:tc>
          <w:tcPr>
            <w:tcW w:w="4677" w:type="dxa"/>
            <w:shd w:val="clear" w:color="000000" w:fill="FFFFFF"/>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技术参数</w:t>
            </w:r>
          </w:p>
        </w:tc>
        <w:tc>
          <w:tcPr>
            <w:tcW w:w="851" w:type="dxa"/>
            <w:shd w:val="clear" w:color="000000" w:fill="FFFFFF"/>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单位</w:t>
            </w:r>
          </w:p>
        </w:tc>
        <w:tc>
          <w:tcPr>
            <w:tcW w:w="709" w:type="dxa"/>
            <w:shd w:val="clear" w:color="000000" w:fill="FFFFFF"/>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数量</w:t>
            </w:r>
          </w:p>
        </w:tc>
        <w:tc>
          <w:tcPr>
            <w:tcW w:w="708" w:type="dxa"/>
            <w:shd w:val="clear" w:color="000000" w:fill="FFFFFF"/>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2" w:type="dxa"/>
            <w:gridSpan w:val="6"/>
            <w:shd w:val="clear" w:color="000000" w:fill="FFFFFF"/>
            <w:noWrap/>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一、网络升级改造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2" w:hRule="atLeast"/>
        </w:trPr>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室外单模光纤</w:t>
            </w:r>
          </w:p>
        </w:tc>
        <w:tc>
          <w:tcPr>
            <w:tcW w:w="4677" w:type="dxa"/>
            <w:shd w:val="clear" w:color="000000" w:fill="FFFFFF"/>
          </w:tcPr>
          <w:p>
            <w:pPr>
              <w:widowControl/>
              <w:spacing w:after="240" w:line="360" w:lineRule="auto"/>
              <w:jc w:val="left"/>
              <w:rPr>
                <w:rFonts w:ascii="宋体" w:hAnsi="宋体" w:cs="宋体"/>
                <w:kern w:val="0"/>
                <w:szCs w:val="21"/>
              </w:rPr>
            </w:pPr>
            <w:r>
              <w:rPr>
                <w:rFonts w:hint="eastAsia" w:ascii="宋体" w:hAnsi="宋体" w:cs="宋体"/>
                <w:kern w:val="0"/>
                <w:szCs w:val="21"/>
              </w:rPr>
              <w:t>1、规格：≥48芯室外单模</w:t>
            </w:r>
            <w:r>
              <w:rPr>
                <w:rFonts w:hint="eastAsia" w:ascii="宋体" w:hAnsi="宋体" w:cs="宋体"/>
                <w:kern w:val="0"/>
                <w:szCs w:val="21"/>
              </w:rPr>
              <w:br w:type="textWrapping"/>
            </w:r>
            <w:r>
              <w:rPr>
                <w:rFonts w:hint="eastAsia" w:ascii="宋体" w:hAnsi="宋体" w:cs="宋体"/>
                <w:kern w:val="0"/>
                <w:szCs w:val="21"/>
              </w:rPr>
              <w:t xml:space="preserve">2、敷设方式：管道、架空 </w:t>
            </w:r>
            <w:r>
              <w:rPr>
                <w:rFonts w:hint="eastAsia" w:ascii="宋体" w:hAnsi="宋体" w:cs="宋体"/>
                <w:kern w:val="0"/>
                <w:szCs w:val="21"/>
              </w:rPr>
              <w:br w:type="textWrapping"/>
            </w:r>
            <w:r>
              <w:rPr>
                <w:rFonts w:hint="eastAsia" w:ascii="宋体" w:hAnsi="宋体" w:cs="宋体"/>
                <w:kern w:val="0"/>
                <w:szCs w:val="21"/>
              </w:rPr>
              <w:t xml:space="preserve">3、工作温度：-40～+70℃ </w:t>
            </w:r>
            <w:r>
              <w:rPr>
                <w:rFonts w:hint="eastAsia" w:ascii="宋体" w:hAnsi="宋体" w:cs="宋体"/>
                <w:kern w:val="0"/>
                <w:szCs w:val="21"/>
              </w:rPr>
              <w:br w:type="textWrapping"/>
            </w:r>
            <w:r>
              <w:rPr>
                <w:rFonts w:hint="eastAsia" w:ascii="宋体" w:hAnsi="宋体" w:cs="宋体"/>
                <w:kern w:val="0"/>
                <w:szCs w:val="21"/>
              </w:rPr>
              <w:t xml:space="preserve">4、弯曲半径：静态10倍缆径，动态20倍缆径 </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1700</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米</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室外单模光纤</w:t>
            </w:r>
          </w:p>
        </w:tc>
        <w:tc>
          <w:tcPr>
            <w:tcW w:w="4677" w:type="dxa"/>
            <w:shd w:val="clear" w:color="000000" w:fill="FFFFFF"/>
          </w:tcPr>
          <w:p>
            <w:pPr>
              <w:widowControl/>
              <w:spacing w:after="240" w:line="360" w:lineRule="auto"/>
              <w:jc w:val="left"/>
              <w:rPr>
                <w:rFonts w:ascii="宋体" w:hAnsi="宋体" w:cs="宋体"/>
                <w:kern w:val="0"/>
                <w:szCs w:val="21"/>
              </w:rPr>
            </w:pPr>
            <w:r>
              <w:rPr>
                <w:rFonts w:hint="eastAsia" w:ascii="宋体" w:hAnsi="宋体" w:cs="宋体"/>
                <w:kern w:val="0"/>
                <w:szCs w:val="21"/>
              </w:rPr>
              <w:t>1、规格：≥12芯室外单模</w:t>
            </w:r>
            <w:r>
              <w:rPr>
                <w:rFonts w:hint="eastAsia" w:ascii="宋体" w:hAnsi="宋体" w:cs="宋体"/>
                <w:kern w:val="0"/>
                <w:szCs w:val="21"/>
              </w:rPr>
              <w:br w:type="textWrapping"/>
            </w:r>
            <w:r>
              <w:rPr>
                <w:rFonts w:hint="eastAsia" w:ascii="宋体" w:hAnsi="宋体" w:cs="宋体"/>
                <w:kern w:val="0"/>
                <w:szCs w:val="21"/>
              </w:rPr>
              <w:t xml:space="preserve">2、敷设方式：管道、架空 </w:t>
            </w:r>
            <w:r>
              <w:rPr>
                <w:rFonts w:hint="eastAsia" w:ascii="宋体" w:hAnsi="宋体" w:cs="宋体"/>
                <w:kern w:val="0"/>
                <w:szCs w:val="21"/>
              </w:rPr>
              <w:br w:type="textWrapping"/>
            </w:r>
            <w:r>
              <w:rPr>
                <w:rFonts w:hint="eastAsia" w:ascii="宋体" w:hAnsi="宋体" w:cs="宋体"/>
                <w:kern w:val="0"/>
                <w:szCs w:val="21"/>
              </w:rPr>
              <w:t xml:space="preserve">3、工作温度：-40～+70℃ </w:t>
            </w:r>
            <w:r>
              <w:rPr>
                <w:rFonts w:hint="eastAsia" w:ascii="宋体" w:hAnsi="宋体" w:cs="宋体"/>
                <w:kern w:val="0"/>
                <w:szCs w:val="21"/>
              </w:rPr>
              <w:br w:type="textWrapping"/>
            </w:r>
            <w:r>
              <w:rPr>
                <w:rFonts w:hint="eastAsia" w:ascii="宋体" w:hAnsi="宋体" w:cs="宋体"/>
                <w:kern w:val="0"/>
                <w:szCs w:val="21"/>
              </w:rPr>
              <w:t xml:space="preserve">4、弯曲半径：静态10倍缆径，动态20倍缆径 </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2500</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米</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光缆交接箱</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1、规格：≥576芯光缆交接箱</w:t>
            </w:r>
            <w:r>
              <w:rPr>
                <w:rFonts w:hint="eastAsia" w:ascii="宋体" w:hAnsi="宋体" w:cs="宋体"/>
                <w:kern w:val="0"/>
                <w:szCs w:val="21"/>
              </w:rPr>
              <w:br w:type="textWrapping"/>
            </w:r>
            <w:r>
              <w:rPr>
                <w:rFonts w:hint="eastAsia" w:ascii="宋体" w:hAnsi="宋体" w:cs="宋体"/>
                <w:kern w:val="0"/>
                <w:szCs w:val="21"/>
              </w:rPr>
              <w:t>2、材质：不锈钢</w:t>
            </w:r>
            <w:r>
              <w:rPr>
                <w:rFonts w:hint="eastAsia" w:ascii="宋体" w:hAnsi="宋体" w:cs="宋体"/>
                <w:kern w:val="0"/>
                <w:szCs w:val="21"/>
              </w:rPr>
              <w:br w:type="textWrapping"/>
            </w:r>
            <w:r>
              <w:rPr>
                <w:rFonts w:hint="eastAsia" w:ascii="宋体" w:hAnsi="宋体" w:cs="宋体"/>
                <w:kern w:val="0"/>
                <w:szCs w:val="21"/>
              </w:rPr>
              <w:t>3、特点：落地式、防雨、防雷击、防盗</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4</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光缆交接箱</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1、规格：≥144芯光缆交接箱</w:t>
            </w:r>
            <w:r>
              <w:rPr>
                <w:rFonts w:hint="eastAsia" w:ascii="宋体" w:hAnsi="宋体" w:cs="宋体"/>
                <w:kern w:val="0"/>
                <w:szCs w:val="21"/>
              </w:rPr>
              <w:br w:type="textWrapping"/>
            </w:r>
            <w:r>
              <w:rPr>
                <w:rFonts w:hint="eastAsia" w:ascii="宋体" w:hAnsi="宋体" w:cs="宋体"/>
                <w:kern w:val="0"/>
                <w:szCs w:val="21"/>
              </w:rPr>
              <w:t>2、材质：不锈钢</w:t>
            </w:r>
            <w:r>
              <w:rPr>
                <w:rFonts w:hint="eastAsia" w:ascii="宋体" w:hAnsi="宋体" w:cs="宋体"/>
                <w:kern w:val="0"/>
                <w:szCs w:val="21"/>
              </w:rPr>
              <w:br w:type="textWrapping"/>
            </w:r>
            <w:r>
              <w:rPr>
                <w:rFonts w:hint="eastAsia" w:ascii="宋体" w:hAnsi="宋体" w:cs="宋体"/>
                <w:kern w:val="0"/>
                <w:szCs w:val="21"/>
              </w:rPr>
              <w:t>3、特点：壁挂式、防雨、防雷击、防盗</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4</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5</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光纤配线架</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1、规格：≥12芯光纤配线架ODF单元箱（含耦合器等配件）</w:t>
            </w:r>
            <w:r>
              <w:rPr>
                <w:rFonts w:hint="eastAsia" w:ascii="宋体" w:hAnsi="宋体" w:cs="宋体"/>
                <w:kern w:val="0"/>
                <w:szCs w:val="21"/>
              </w:rPr>
              <w:br w:type="textWrapping"/>
            </w:r>
            <w:r>
              <w:rPr>
                <w:rFonts w:hint="eastAsia" w:ascii="宋体" w:hAnsi="宋体" w:cs="宋体"/>
                <w:kern w:val="0"/>
                <w:szCs w:val="21"/>
              </w:rPr>
              <w:t>2、材质：冷轧钢板制作，静电喷涂</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19</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套</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6</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光纤配线架</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1、规格：≥24芯光纤配线架ODF单元箱（含耦合器等配件）</w:t>
            </w:r>
            <w:r>
              <w:rPr>
                <w:rFonts w:hint="eastAsia" w:ascii="宋体" w:hAnsi="宋体" w:cs="宋体"/>
                <w:kern w:val="0"/>
                <w:szCs w:val="21"/>
              </w:rPr>
              <w:br w:type="textWrapping"/>
            </w:r>
            <w:r>
              <w:rPr>
                <w:rFonts w:hint="eastAsia" w:ascii="宋体" w:hAnsi="宋体" w:cs="宋体"/>
                <w:kern w:val="0"/>
                <w:szCs w:val="21"/>
              </w:rPr>
              <w:t>2、材质：冷轧钢板制作，静电喷涂</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9</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套</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7</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机柜</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1、规格：≥550×470×620mm（宽×深×高）</w:t>
            </w:r>
            <w:r>
              <w:rPr>
                <w:rFonts w:hint="eastAsia" w:ascii="宋体" w:hAnsi="宋体" w:cs="宋体"/>
                <w:kern w:val="0"/>
                <w:szCs w:val="21"/>
              </w:rPr>
              <w:br w:type="textWrapping"/>
            </w:r>
            <w:r>
              <w:rPr>
                <w:rFonts w:hint="eastAsia" w:ascii="宋体" w:hAnsi="宋体" w:cs="宋体"/>
                <w:kern w:val="0"/>
                <w:szCs w:val="21"/>
              </w:rPr>
              <w:t>2、材料:采用优质冷轧钢板</w:t>
            </w:r>
            <w:r>
              <w:rPr>
                <w:rFonts w:hint="eastAsia" w:ascii="宋体" w:hAnsi="宋体" w:cs="宋体"/>
                <w:kern w:val="0"/>
                <w:szCs w:val="21"/>
              </w:rPr>
              <w:br w:type="textWrapping"/>
            </w:r>
            <w:r>
              <w:rPr>
                <w:rFonts w:hint="eastAsia" w:ascii="宋体" w:hAnsi="宋体" w:cs="宋体"/>
                <w:kern w:val="0"/>
                <w:szCs w:val="21"/>
              </w:rPr>
              <w:t>3、结构：机柜设计采用一体化框架结构，承重能力强，内部设计标准19”安装立柱</w:t>
            </w:r>
            <w:r>
              <w:rPr>
                <w:rFonts w:hint="eastAsia" w:ascii="宋体" w:hAnsi="宋体" w:cs="宋体"/>
                <w:kern w:val="0"/>
                <w:szCs w:val="21"/>
              </w:rPr>
              <w:br w:type="textWrapping"/>
            </w:r>
            <w:r>
              <w:rPr>
                <w:rFonts w:hint="eastAsia" w:ascii="宋体" w:hAnsi="宋体" w:cs="宋体"/>
                <w:kern w:val="0"/>
                <w:szCs w:val="21"/>
              </w:rPr>
              <w:t>4、承重：静态≥120KG</w:t>
            </w:r>
            <w:r>
              <w:rPr>
                <w:rFonts w:hint="eastAsia" w:ascii="宋体" w:hAnsi="宋体" w:cs="宋体"/>
                <w:kern w:val="0"/>
                <w:szCs w:val="21"/>
              </w:rPr>
              <w:br w:type="textWrapping"/>
            </w:r>
            <w:r>
              <w:rPr>
                <w:rFonts w:hint="eastAsia" w:ascii="宋体" w:hAnsi="宋体" w:cs="宋体"/>
                <w:kern w:val="0"/>
                <w:szCs w:val="21"/>
              </w:rPr>
              <w:t>5、防护等级：≥IP20</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19</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8</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网络理线架</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1、规格：≥1U网络理线架</w:t>
            </w:r>
            <w:r>
              <w:rPr>
                <w:rFonts w:hint="eastAsia" w:ascii="宋体" w:hAnsi="宋体" w:cs="宋体"/>
                <w:kern w:val="0"/>
                <w:szCs w:val="21"/>
              </w:rPr>
              <w:br w:type="textWrapping"/>
            </w:r>
            <w:r>
              <w:rPr>
                <w:rFonts w:hint="eastAsia" w:ascii="宋体" w:hAnsi="宋体" w:cs="宋体"/>
                <w:kern w:val="0"/>
                <w:szCs w:val="21"/>
              </w:rPr>
              <w:t>2、材料：冷轧钢板</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57</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9</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光纤跳线</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≥3米SC或LC跳线(SC-SC或SC-LC）</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636</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对</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10</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PVC管</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1、型号：PVC管</w:t>
            </w:r>
            <w:r>
              <w:rPr>
                <w:rFonts w:hint="eastAsia" w:ascii="宋体" w:hAnsi="宋体" w:cs="宋体"/>
                <w:kern w:val="0"/>
                <w:szCs w:val="21"/>
              </w:rPr>
              <w:br w:type="textWrapping"/>
            </w:r>
            <w:r>
              <w:rPr>
                <w:rFonts w:hint="eastAsia" w:ascii="宋体" w:hAnsi="宋体" w:cs="宋体"/>
                <w:kern w:val="0"/>
                <w:szCs w:val="21"/>
              </w:rPr>
              <w:t>2、规格：≥110mm</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1300</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米 </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11</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PVC管</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1、型号：PVC管</w:t>
            </w:r>
            <w:r>
              <w:rPr>
                <w:rFonts w:hint="eastAsia" w:ascii="宋体" w:hAnsi="宋体" w:cs="宋体"/>
                <w:kern w:val="0"/>
                <w:szCs w:val="21"/>
              </w:rPr>
              <w:br w:type="textWrapping"/>
            </w:r>
            <w:r>
              <w:rPr>
                <w:rFonts w:hint="eastAsia" w:ascii="宋体" w:hAnsi="宋体" w:cs="宋体"/>
                <w:kern w:val="0"/>
                <w:szCs w:val="21"/>
              </w:rPr>
              <w:t>2、规格：≥50mm</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1500</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米 </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12</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光纤配件</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光纤盒，跳纤，尾纤，耦合器等</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13</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光纤熔接</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国产</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1272</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芯</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14</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手井</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深长宽≥60CM*50CM*40CM</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16</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15</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混凝土路面开挖及恢复</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深度≥50CM,宽≥30CM</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1300</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米 </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16</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无线AP</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1、频率范围:双频（2.4G、5G）</w:t>
            </w:r>
            <w:r>
              <w:rPr>
                <w:rFonts w:hint="eastAsia" w:ascii="宋体" w:hAnsi="宋体" w:cs="宋体"/>
                <w:kern w:val="0"/>
                <w:szCs w:val="21"/>
              </w:rPr>
              <w:br w:type="textWrapping"/>
            </w:r>
            <w:r>
              <w:rPr>
                <w:rFonts w:hint="eastAsia" w:ascii="宋体" w:hAnsi="宋体" w:cs="宋体"/>
                <w:kern w:val="0"/>
                <w:szCs w:val="21"/>
              </w:rPr>
              <w:t>2、传输标准:IEEE802.11 a/b/g/n/ac</w:t>
            </w:r>
            <w:r>
              <w:rPr>
                <w:rFonts w:hint="eastAsia" w:ascii="宋体" w:hAnsi="宋体" w:cs="宋体"/>
                <w:kern w:val="0"/>
                <w:szCs w:val="21"/>
              </w:rPr>
              <w:br w:type="textWrapping"/>
            </w:r>
            <w:r>
              <w:rPr>
                <w:rFonts w:hint="eastAsia" w:ascii="宋体" w:hAnsi="宋体" w:cs="宋体"/>
                <w:kern w:val="0"/>
                <w:szCs w:val="21"/>
              </w:rPr>
              <w:t>3、供电：≥48V POE</w:t>
            </w:r>
            <w:r>
              <w:rPr>
                <w:rFonts w:hint="eastAsia" w:ascii="宋体" w:hAnsi="宋体" w:cs="宋体"/>
                <w:kern w:val="0"/>
                <w:szCs w:val="21"/>
              </w:rPr>
              <w:br w:type="textWrapping"/>
            </w:r>
            <w:r>
              <w:rPr>
                <w:rFonts w:hint="eastAsia" w:ascii="宋体" w:hAnsi="宋体" w:cs="宋体"/>
                <w:kern w:val="0"/>
                <w:szCs w:val="21"/>
              </w:rPr>
              <w:t xml:space="preserve">4、功能：支持WPA-PSK、WPA2-PSK、WPA-PSK+WPA2-PSK；三种加密模式，安全放心； 持SSID Vlan，为SSID划分Vlan，提高网络安全性； </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27</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17</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POE电源</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≥48VPOE电源</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15</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18</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POE交换机</w:t>
            </w:r>
          </w:p>
        </w:tc>
        <w:tc>
          <w:tcPr>
            <w:tcW w:w="4677" w:type="dxa"/>
            <w:shd w:val="clear" w:color="000000" w:fill="FFFFFF"/>
          </w:tcPr>
          <w:p>
            <w:pPr>
              <w:widowControl/>
              <w:spacing w:line="360" w:lineRule="auto"/>
              <w:jc w:val="left"/>
              <w:rPr>
                <w:rFonts w:ascii="宋体" w:hAnsi="宋体" w:cs="宋体"/>
                <w:kern w:val="0"/>
                <w:szCs w:val="21"/>
              </w:rPr>
            </w:pPr>
            <w:r>
              <w:rPr>
                <w:rFonts w:hint="eastAsia" w:ascii="宋体" w:hAnsi="宋体" w:cs="宋体"/>
                <w:kern w:val="0"/>
                <w:szCs w:val="21"/>
              </w:rPr>
              <w:t>1、固化10/100/1000M以太网端口POE供电≥8个，非复用SFP千兆光接口≥2个，交换容量≥256Gbps，包转发率≥19.5Mpps，MAC 地址表≥16K。</w:t>
            </w:r>
            <w:r>
              <w:rPr>
                <w:rFonts w:hint="eastAsia" w:ascii="宋体" w:hAnsi="宋体" w:cs="宋体"/>
                <w:kern w:val="0"/>
                <w:szCs w:val="21"/>
              </w:rPr>
              <w:br w:type="textWrapping"/>
            </w:r>
            <w:r>
              <w:rPr>
                <w:rFonts w:hint="eastAsia" w:ascii="宋体" w:hAnsi="宋体" w:cs="宋体"/>
                <w:kern w:val="0"/>
                <w:szCs w:val="21"/>
              </w:rPr>
              <w:t>2、整机采用绿色环保设计，POE不对外供电时功耗≤7.9W；POE满载对外供电功耗≤146W。</w:t>
            </w:r>
            <w:r>
              <w:rPr>
                <w:rFonts w:hint="eastAsia" w:ascii="宋体" w:hAnsi="宋体" w:cs="宋体"/>
                <w:kern w:val="0"/>
                <w:szCs w:val="21"/>
              </w:rPr>
              <w:br w:type="textWrapping"/>
            </w:r>
            <w:r>
              <w:rPr>
                <w:rFonts w:hint="eastAsia" w:ascii="宋体" w:hAnsi="宋体" w:cs="宋体"/>
                <w:kern w:val="0"/>
                <w:szCs w:val="21"/>
              </w:rPr>
              <w:t>3、支持 QinQ 增强特性，灵活 QinQ 功能，可通过匹配具体的流来选择对进入的数据报文打外层tag，实现用户对多种业务实施不同的承载方案。（提供第三方测试报告并加盖公章）</w:t>
            </w:r>
            <w:r>
              <w:rPr>
                <w:rFonts w:hint="eastAsia" w:ascii="宋体" w:hAnsi="宋体" w:cs="宋体"/>
                <w:kern w:val="0"/>
                <w:szCs w:val="21"/>
              </w:rPr>
              <w:br w:type="textWrapping"/>
            </w:r>
            <w:r>
              <w:rPr>
                <w:rFonts w:hint="eastAsia" w:ascii="宋体" w:hAnsi="宋体" w:cs="宋体"/>
                <w:kern w:val="0"/>
                <w:szCs w:val="21"/>
              </w:rPr>
              <w:t>4、所投产品所有GT接口要求符合≥8KV防雷能力。</w:t>
            </w:r>
            <w:r>
              <w:rPr>
                <w:rFonts w:hint="eastAsia" w:ascii="宋体" w:hAnsi="宋体" w:cs="宋体"/>
                <w:kern w:val="0"/>
                <w:szCs w:val="21"/>
              </w:rPr>
              <w:br w:type="textWrapping"/>
            </w:r>
            <w:r>
              <w:rPr>
                <w:rFonts w:hint="eastAsia" w:ascii="宋体" w:hAnsi="宋体" w:cs="宋体"/>
                <w:kern w:val="0"/>
                <w:szCs w:val="21"/>
              </w:rPr>
              <w:t>5、支持IP ACL，MAC ACL，IPv6 ACL，IP+MAC ACL，Vlan ACL，完全硬件线速实现，不影响转发性能。</w:t>
            </w:r>
            <w:r>
              <w:rPr>
                <w:rFonts w:hint="eastAsia" w:ascii="宋体" w:hAnsi="宋体" w:cs="宋体"/>
                <w:kern w:val="0"/>
                <w:szCs w:val="21"/>
              </w:rPr>
              <w:br w:type="textWrapping"/>
            </w:r>
            <w:r>
              <w:rPr>
                <w:rFonts w:hint="eastAsia" w:ascii="宋体" w:hAnsi="宋体" w:cs="宋体"/>
                <w:kern w:val="0"/>
                <w:szCs w:val="21"/>
              </w:rPr>
              <w:t>6、支持端动态ARP检测功能，从源头上防止ARP欺骗和攻击。</w:t>
            </w:r>
            <w:r>
              <w:rPr>
                <w:rFonts w:hint="eastAsia" w:ascii="宋体" w:hAnsi="宋体" w:cs="宋体"/>
                <w:kern w:val="0"/>
                <w:szCs w:val="21"/>
              </w:rPr>
              <w:br w:type="textWrapping"/>
            </w:r>
            <w:r>
              <w:rPr>
                <w:rFonts w:hint="eastAsia" w:ascii="宋体" w:hAnsi="宋体" w:cs="宋体"/>
                <w:kern w:val="0"/>
                <w:szCs w:val="21"/>
              </w:rPr>
              <w:t>7、支持防DOS攻击.CPU安全防护等技术，保障设备在攻击环境下正常转发数据。</w:t>
            </w:r>
            <w:r>
              <w:rPr>
                <w:rFonts w:hint="eastAsia" w:ascii="宋体" w:hAnsi="宋体" w:cs="宋体"/>
                <w:kern w:val="0"/>
                <w:szCs w:val="21"/>
              </w:rPr>
              <w:br w:type="textWrapping"/>
            </w:r>
            <w:r>
              <w:rPr>
                <w:rFonts w:hint="eastAsia" w:ascii="宋体" w:hAnsi="宋体" w:cs="宋体"/>
                <w:kern w:val="0"/>
                <w:szCs w:val="21"/>
              </w:rPr>
              <w:t>▲8、支持IPv6 DHCP Server功能，IPv6 DHCP用户端能通过该Server成功获取IPv6 地址。（提供第三方测试报告并加盖公章）</w:t>
            </w:r>
            <w:r>
              <w:rPr>
                <w:rFonts w:hint="eastAsia" w:ascii="宋体" w:hAnsi="宋体" w:cs="宋体"/>
                <w:kern w:val="0"/>
                <w:szCs w:val="21"/>
              </w:rPr>
              <w:br w:type="textWrapping"/>
            </w:r>
            <w:r>
              <w:rPr>
                <w:rFonts w:hint="eastAsia" w:ascii="宋体" w:hAnsi="宋体" w:cs="宋体"/>
                <w:kern w:val="0"/>
                <w:szCs w:val="21"/>
              </w:rPr>
              <w:t>▲9、支持IPv6 SAVI 接入网源地址验证功能，从接入层保证源地址的真实性，增强IPv6 网络安全性。（提供第三方测试报告并加盖公章）</w:t>
            </w:r>
            <w:r>
              <w:rPr>
                <w:rFonts w:hint="eastAsia" w:ascii="宋体" w:hAnsi="宋体" w:cs="宋体"/>
                <w:kern w:val="0"/>
                <w:szCs w:val="21"/>
              </w:rPr>
              <w:br w:type="textWrapping"/>
            </w:r>
            <w:r>
              <w:rPr>
                <w:rFonts w:hint="eastAsia" w:ascii="宋体" w:hAnsi="宋体" w:cs="宋体"/>
                <w:kern w:val="0"/>
                <w:szCs w:val="21"/>
              </w:rPr>
              <w:t>10、支持G.8032功能。（提供权威机构测试证明文件证实并加盖公章）</w:t>
            </w:r>
            <w:r>
              <w:rPr>
                <w:rFonts w:hint="eastAsia" w:ascii="宋体" w:hAnsi="宋体" w:cs="宋体"/>
                <w:kern w:val="0"/>
                <w:szCs w:val="21"/>
              </w:rPr>
              <w:br w:type="textWrapping"/>
            </w:r>
            <w:r>
              <w:rPr>
                <w:rFonts w:hint="eastAsia" w:ascii="宋体" w:hAnsi="宋体" w:cs="宋体"/>
                <w:kern w:val="0"/>
                <w:szCs w:val="21"/>
              </w:rPr>
              <w:t>11、支持以太网OAM，能对链路进行监视，在链路出现问题时产生告警，便于管理员快速进行故障定位。（提供权威机构测试证明文件证实并加盖公章）</w:t>
            </w:r>
            <w:r>
              <w:rPr>
                <w:rFonts w:hint="eastAsia" w:ascii="宋体" w:hAnsi="宋体" w:cs="宋体"/>
                <w:kern w:val="0"/>
                <w:szCs w:val="21"/>
              </w:rPr>
              <w:br w:type="textWrapping"/>
            </w:r>
            <w:r>
              <w:rPr>
                <w:rFonts w:hint="eastAsia" w:ascii="宋体" w:hAnsi="宋体" w:cs="宋体"/>
                <w:kern w:val="0"/>
                <w:szCs w:val="21"/>
              </w:rPr>
              <w:t>12、支持生成树快速收敛，要求广播收敛时间小于30ms。（提供国家权威机构测试报告作为证明并加盖公章）</w:t>
            </w:r>
            <w:r>
              <w:rPr>
                <w:rFonts w:hint="eastAsia" w:ascii="宋体" w:hAnsi="宋体" w:cs="宋体"/>
                <w:kern w:val="0"/>
                <w:szCs w:val="21"/>
              </w:rPr>
              <w:br w:type="textWrapping"/>
            </w:r>
            <w:r>
              <w:rPr>
                <w:rFonts w:hint="eastAsia" w:ascii="宋体" w:hAnsi="宋体" w:cs="宋体"/>
                <w:kern w:val="0"/>
                <w:szCs w:val="21"/>
              </w:rPr>
              <w:t>13、支持SNMP V1/2/3，支持中文网管，支持CLI.WEB.TELNET.SSH方式管理。</w:t>
            </w:r>
            <w:r>
              <w:rPr>
                <w:rFonts w:hint="eastAsia" w:ascii="宋体" w:hAnsi="宋体" w:cs="宋体"/>
                <w:kern w:val="0"/>
                <w:szCs w:val="21"/>
              </w:rPr>
              <w:br w:type="textWrapping"/>
            </w:r>
            <w:r>
              <w:rPr>
                <w:rFonts w:hint="eastAsia" w:ascii="宋体" w:hAnsi="宋体" w:cs="宋体"/>
                <w:kern w:val="0"/>
                <w:szCs w:val="21"/>
              </w:rPr>
              <w:t>14、支持sflow，实时将采样流量上送到收集器，生成统计信息图标，极大方便了用户日常维护。</w:t>
            </w:r>
            <w:r>
              <w:rPr>
                <w:rFonts w:hint="eastAsia" w:ascii="宋体" w:hAnsi="宋体" w:cs="宋体"/>
                <w:kern w:val="0"/>
                <w:szCs w:val="21"/>
              </w:rPr>
              <w:br w:type="textWrapping"/>
            </w:r>
            <w:r>
              <w:rPr>
                <w:rFonts w:hint="eastAsia" w:ascii="宋体" w:hAnsi="宋体" w:cs="宋体"/>
                <w:kern w:val="0"/>
                <w:szCs w:val="21"/>
              </w:rPr>
              <w:t>▲15、支持断电告警功能，交换机能在断电时通过网管端口将断电告警类型的trap包发送给管理端。（提供第三方测试报告并加盖公章）</w:t>
            </w:r>
            <w:r>
              <w:rPr>
                <w:rFonts w:hint="eastAsia" w:ascii="宋体" w:hAnsi="宋体" w:cs="宋体"/>
                <w:kern w:val="0"/>
                <w:szCs w:val="21"/>
              </w:rPr>
              <w:br w:type="textWrapping"/>
            </w:r>
            <w:r>
              <w:rPr>
                <w:rFonts w:hint="eastAsia" w:ascii="宋体" w:hAnsi="宋体" w:cs="宋体"/>
                <w:kern w:val="0"/>
                <w:szCs w:val="21"/>
              </w:rPr>
              <w:t>▲16、提供第三方测试报告并加盖公章支持端口LED shutoff功能该功能能对端口进行管理，可以根据自身需求设定交换机端口LED灯自动的UP或者DOWN。（提供第三方测试报告并加盖公章）。</w:t>
            </w:r>
            <w:r>
              <w:rPr>
                <w:rFonts w:hint="eastAsia" w:ascii="宋体" w:hAnsi="宋体" w:cs="宋体"/>
                <w:kern w:val="0"/>
                <w:szCs w:val="21"/>
              </w:rPr>
              <w:br w:type="textWrapping"/>
            </w:r>
            <w:r>
              <w:rPr>
                <w:rFonts w:hint="eastAsia" w:ascii="宋体" w:hAnsi="宋体" w:cs="宋体"/>
                <w:kern w:val="0"/>
                <w:szCs w:val="21"/>
              </w:rPr>
              <w:t>17、提供工信部进网许可证复印件并加盖公章。</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19</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SFP光模块</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千兆单模</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20</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块</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20</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安全设备延保服务</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包括1年软件升级，1年产品质保，1年URL库升级，2条链路模块</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项</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21</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辅材</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PVC管配件等</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22</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安装服务费</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网络系统安装、调试。（含光纤布线，机柜、交换机、无线AP等安装调试）</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项</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2" w:type="dxa"/>
            <w:gridSpan w:val="6"/>
            <w:shd w:val="clear" w:color="000000" w:fill="FFFFFF"/>
            <w:noWrap/>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 xml:space="preserve">二、广播系统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2" w:type="dxa"/>
            <w:gridSpan w:val="6"/>
            <w:shd w:val="clear" w:color="000000" w:fill="FFFFFF"/>
            <w:noWrap/>
            <w:vAlign w:val="center"/>
          </w:tcPr>
          <w:p>
            <w:pPr>
              <w:widowControl/>
              <w:spacing w:line="360" w:lineRule="auto"/>
              <w:jc w:val="left"/>
              <w:rPr>
                <w:rFonts w:ascii="宋体" w:hAnsi="宋体" w:cs="宋体"/>
                <w:b/>
                <w:bCs/>
                <w:kern w:val="0"/>
                <w:szCs w:val="21"/>
              </w:rPr>
            </w:pPr>
            <w:r>
              <w:rPr>
                <w:rFonts w:hint="eastAsia" w:ascii="宋体" w:hAnsi="宋体" w:cs="宋体"/>
                <w:b/>
                <w:bCs/>
                <w:kern w:val="0"/>
                <w:szCs w:val="21"/>
              </w:rPr>
              <w:t>1、篮球场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大功率纯后级广播功放</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1、采用1U精简结构，全新拓朴第三代TR类实时电源跟踪功放技术，高效功率放大电路设计。</w:t>
            </w:r>
            <w:r>
              <w:rPr>
                <w:rFonts w:hint="eastAsia" w:ascii="宋体" w:hAnsi="宋体" w:cs="宋体"/>
                <w:kern w:val="0"/>
                <w:szCs w:val="21"/>
              </w:rPr>
              <w:br w:type="textWrapping"/>
            </w:r>
            <w:r>
              <w:rPr>
                <w:rFonts w:hint="eastAsia" w:ascii="宋体" w:hAnsi="宋体" w:cs="宋体"/>
                <w:kern w:val="0"/>
                <w:szCs w:val="21"/>
              </w:rPr>
              <w:t>2、支持开关机自动软启动。</w:t>
            </w:r>
            <w:r>
              <w:rPr>
                <w:rFonts w:hint="eastAsia" w:ascii="宋体" w:hAnsi="宋体" w:cs="宋体"/>
                <w:kern w:val="0"/>
                <w:szCs w:val="21"/>
              </w:rPr>
              <w:br w:type="textWrapping"/>
            </w:r>
            <w:r>
              <w:rPr>
                <w:rFonts w:hint="eastAsia" w:ascii="宋体" w:hAnsi="宋体" w:cs="宋体"/>
                <w:kern w:val="0"/>
                <w:szCs w:val="21"/>
              </w:rPr>
              <w:t>3、零交越失真；ZVS、ZCS软开关电源的功能，达到92%的超高系统效率。</w:t>
            </w:r>
            <w:r>
              <w:rPr>
                <w:rFonts w:hint="eastAsia" w:ascii="宋体" w:hAnsi="宋体" w:cs="宋体"/>
                <w:kern w:val="0"/>
                <w:szCs w:val="21"/>
              </w:rPr>
              <w:br w:type="textWrapping"/>
            </w:r>
            <w:r>
              <w:rPr>
                <w:rFonts w:hint="eastAsia" w:ascii="宋体" w:hAnsi="宋体" w:cs="宋体"/>
                <w:kern w:val="0"/>
                <w:szCs w:val="21"/>
              </w:rPr>
              <w:t>4、内置音频变压器作为系统隔离。</w:t>
            </w:r>
            <w:r>
              <w:rPr>
                <w:rFonts w:hint="eastAsia" w:ascii="宋体" w:hAnsi="宋体" w:cs="宋体"/>
                <w:kern w:val="0"/>
                <w:szCs w:val="21"/>
              </w:rPr>
              <w:br w:type="textWrapping"/>
            </w:r>
            <w:r>
              <w:rPr>
                <w:rFonts w:hint="eastAsia" w:ascii="宋体" w:hAnsi="宋体" w:cs="宋体"/>
                <w:kern w:val="0"/>
                <w:szCs w:val="21"/>
              </w:rPr>
              <w:t>5、内置智能削顶失真和过流压限系统。</w:t>
            </w:r>
            <w:r>
              <w:rPr>
                <w:rFonts w:hint="eastAsia" w:ascii="宋体" w:hAnsi="宋体" w:cs="宋体"/>
                <w:kern w:val="0"/>
                <w:szCs w:val="21"/>
              </w:rPr>
              <w:br w:type="textWrapping"/>
            </w:r>
            <w:r>
              <w:rPr>
                <w:rFonts w:hint="eastAsia" w:ascii="宋体" w:hAnsi="宋体" w:cs="宋体"/>
                <w:kern w:val="0"/>
                <w:szCs w:val="21"/>
              </w:rPr>
              <w:t>6、二种定压输出模式：70V/100V，输出功率2000W。</w:t>
            </w:r>
            <w:r>
              <w:rPr>
                <w:rFonts w:hint="eastAsia" w:ascii="宋体" w:hAnsi="宋体" w:cs="宋体"/>
                <w:kern w:val="0"/>
                <w:szCs w:val="21"/>
              </w:rPr>
              <w:br w:type="textWrapping"/>
            </w:r>
            <w:r>
              <w:rPr>
                <w:rFonts w:hint="eastAsia" w:ascii="宋体" w:hAnsi="宋体" w:cs="宋体"/>
                <w:kern w:val="0"/>
                <w:szCs w:val="21"/>
              </w:rPr>
              <w:t>7、内置自动温度控制风扇冷却系统。</w:t>
            </w:r>
            <w:r>
              <w:rPr>
                <w:rFonts w:hint="eastAsia" w:ascii="宋体" w:hAnsi="宋体" w:cs="宋体"/>
                <w:kern w:val="0"/>
                <w:szCs w:val="21"/>
              </w:rPr>
              <w:br w:type="textWrapping"/>
            </w:r>
            <w:r>
              <w:rPr>
                <w:rFonts w:hint="eastAsia" w:ascii="宋体" w:hAnsi="宋体" w:cs="宋体"/>
                <w:kern w:val="0"/>
                <w:szCs w:val="21"/>
              </w:rPr>
              <w:t>8、过温、过压，欠压，过流，短路多重智能检测保护系统。</w:t>
            </w:r>
            <w:r>
              <w:rPr>
                <w:rFonts w:hint="eastAsia" w:ascii="宋体" w:hAnsi="宋体" w:cs="宋体"/>
                <w:kern w:val="0"/>
                <w:szCs w:val="21"/>
              </w:rPr>
              <w:br w:type="textWrapping"/>
            </w:r>
            <w:r>
              <w:rPr>
                <w:rFonts w:hint="eastAsia" w:ascii="宋体" w:hAnsi="宋体" w:cs="宋体"/>
                <w:kern w:val="0"/>
                <w:szCs w:val="21"/>
              </w:rPr>
              <w:t>9、1通道LINE非平衡TRS/XLR输入（阻抗775mV/10KΩ），1通道LINE平衡XLR级联输出（阻抗775mV/470Ω）。</w:t>
            </w:r>
            <w:r>
              <w:rPr>
                <w:rFonts w:hint="eastAsia" w:ascii="宋体" w:hAnsi="宋体" w:cs="宋体"/>
                <w:kern w:val="0"/>
                <w:szCs w:val="21"/>
              </w:rPr>
              <w:br w:type="textWrapping"/>
            </w:r>
            <w:r>
              <w:rPr>
                <w:rFonts w:hint="eastAsia" w:ascii="宋体" w:hAnsi="宋体" w:cs="宋体"/>
                <w:kern w:val="0"/>
                <w:szCs w:val="21"/>
              </w:rPr>
              <w:t>10、面板带音量调节旋钮。</w:t>
            </w:r>
            <w:r>
              <w:rPr>
                <w:rFonts w:hint="eastAsia" w:ascii="宋体" w:hAnsi="宋体" w:cs="宋体"/>
                <w:kern w:val="0"/>
                <w:szCs w:val="21"/>
              </w:rPr>
              <w:br w:type="textWrapping"/>
            </w:r>
            <w:r>
              <w:rPr>
                <w:rFonts w:hint="eastAsia" w:ascii="宋体" w:hAnsi="宋体" w:cs="宋体"/>
                <w:kern w:val="0"/>
                <w:szCs w:val="21"/>
              </w:rPr>
              <w:t>11、频率响应范围80Hz～16KHz(+1dB,-3dB)；信噪比&gt;90dB。</w:t>
            </w:r>
            <w:r>
              <w:rPr>
                <w:rFonts w:hint="eastAsia" w:ascii="宋体" w:hAnsi="宋体" w:cs="宋体"/>
                <w:kern w:val="0"/>
                <w:szCs w:val="21"/>
              </w:rPr>
              <w:br w:type="textWrapping"/>
            </w:r>
            <w:r>
              <w:rPr>
                <w:rFonts w:hint="eastAsia" w:ascii="宋体" w:hAnsi="宋体" w:cs="宋体"/>
                <w:kern w:val="0"/>
                <w:szCs w:val="21"/>
              </w:rPr>
              <w:t>12、总谐波失真：1KHz时0.5%,1/3输出功率。</w:t>
            </w:r>
            <w:r>
              <w:rPr>
                <w:rFonts w:hint="eastAsia" w:ascii="宋体" w:hAnsi="宋体" w:cs="宋体"/>
                <w:kern w:val="0"/>
                <w:szCs w:val="21"/>
              </w:rPr>
              <w:br w:type="textWrapping"/>
            </w:r>
            <w:r>
              <w:rPr>
                <w:rFonts w:hint="eastAsia" w:ascii="宋体" w:hAnsi="宋体" w:cs="宋体"/>
                <w:kern w:val="0"/>
                <w:szCs w:val="21"/>
              </w:rPr>
              <w:t xml:space="preserve">13、“地”线悬浮开关：信号“地”线可选接机箱或是悬浮。                        </w:t>
            </w:r>
            <w:r>
              <w:rPr>
                <w:rFonts w:ascii="宋体" w:hAnsi="宋体" w:cs="宋体"/>
                <w:kern w:val="0"/>
                <w:szCs w:val="21"/>
              </w:rPr>
              <w:t xml:space="preserve">      </w:t>
            </w:r>
            <w:r>
              <w:rPr>
                <w:rFonts w:hint="eastAsia" w:ascii="宋体" w:hAnsi="宋体" w:cs="宋体"/>
                <w:kern w:val="0"/>
                <w:szCs w:val="21"/>
              </w:rPr>
              <w:t>14、所投产品厂家需获得省级和国家级教育装备行业协会会员证书，获得国家级教育技术协会会员证书。</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音柱</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1．额定功率(100V)：≥90W</w:t>
            </w:r>
            <w:r>
              <w:rPr>
                <w:rFonts w:hint="eastAsia" w:ascii="宋体" w:hAnsi="宋体" w:cs="宋体"/>
                <w:kern w:val="0"/>
                <w:szCs w:val="21"/>
              </w:rPr>
              <w:br w:type="textWrapping"/>
            </w:r>
            <w:r>
              <w:rPr>
                <w:rFonts w:hint="eastAsia" w:ascii="宋体" w:hAnsi="宋体" w:cs="宋体"/>
                <w:kern w:val="0"/>
                <w:szCs w:val="21"/>
              </w:rPr>
              <w:t>2．额定功率(70V)：≥45W</w:t>
            </w:r>
            <w:r>
              <w:rPr>
                <w:rFonts w:hint="eastAsia" w:ascii="宋体" w:hAnsi="宋体" w:cs="宋体"/>
                <w:kern w:val="0"/>
                <w:szCs w:val="21"/>
              </w:rPr>
              <w:br w:type="textWrapping"/>
            </w:r>
            <w:r>
              <w:rPr>
                <w:rFonts w:hint="eastAsia" w:ascii="宋体" w:hAnsi="宋体" w:cs="宋体"/>
                <w:kern w:val="0"/>
                <w:szCs w:val="21"/>
              </w:rPr>
              <w:t>3．灵敏度≥93dB</w:t>
            </w:r>
            <w:r>
              <w:rPr>
                <w:rFonts w:hint="eastAsia" w:ascii="宋体" w:hAnsi="宋体" w:cs="宋体"/>
                <w:kern w:val="0"/>
                <w:szCs w:val="21"/>
              </w:rPr>
              <w:br w:type="textWrapping"/>
            </w:r>
            <w:r>
              <w:rPr>
                <w:rFonts w:hint="eastAsia" w:ascii="宋体" w:hAnsi="宋体" w:cs="宋体"/>
                <w:kern w:val="0"/>
                <w:szCs w:val="21"/>
              </w:rPr>
              <w:t>4．频率响应：100-20KHz</w:t>
            </w:r>
            <w:r>
              <w:rPr>
                <w:rFonts w:hint="eastAsia" w:ascii="宋体" w:hAnsi="宋体" w:cs="宋体"/>
                <w:kern w:val="0"/>
                <w:szCs w:val="21"/>
              </w:rPr>
              <w:br w:type="textWrapping"/>
            </w:r>
            <w:r>
              <w:rPr>
                <w:rFonts w:hint="eastAsia" w:ascii="宋体" w:hAnsi="宋体" w:cs="宋体"/>
                <w:kern w:val="0"/>
                <w:szCs w:val="21"/>
              </w:rPr>
              <w:t>5．喇叭单元：4"×3,3"×1</w:t>
            </w:r>
            <w:r>
              <w:rPr>
                <w:rFonts w:hint="eastAsia" w:ascii="宋体" w:hAnsi="宋体" w:cs="宋体"/>
                <w:kern w:val="0"/>
                <w:szCs w:val="21"/>
              </w:rPr>
              <w:br w:type="textWrapping"/>
            </w:r>
            <w:r>
              <w:rPr>
                <w:rFonts w:hint="eastAsia" w:ascii="宋体" w:hAnsi="宋体" w:cs="宋体"/>
                <w:kern w:val="0"/>
                <w:szCs w:val="21"/>
              </w:rPr>
              <w:t>6.防护等级：≥IP66</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12</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2" w:type="dxa"/>
            <w:gridSpan w:val="6"/>
            <w:shd w:val="clear" w:color="000000" w:fill="FFFFFF"/>
            <w:noWrap/>
            <w:vAlign w:val="center"/>
          </w:tcPr>
          <w:p>
            <w:pPr>
              <w:widowControl/>
              <w:spacing w:line="360" w:lineRule="auto"/>
              <w:jc w:val="left"/>
              <w:rPr>
                <w:rFonts w:ascii="宋体" w:hAnsi="宋体" w:cs="宋体"/>
                <w:b/>
                <w:bCs/>
                <w:kern w:val="0"/>
                <w:szCs w:val="21"/>
              </w:rPr>
            </w:pPr>
            <w:r>
              <w:rPr>
                <w:rFonts w:hint="eastAsia" w:ascii="宋体" w:hAnsi="宋体" w:cs="宋体"/>
                <w:b/>
                <w:bCs/>
                <w:kern w:val="0"/>
                <w:szCs w:val="21"/>
              </w:rPr>
              <w:t>2、运动场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大功率纯后级广播功放</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1、采用1U精简结构，全新拓朴第三代TR类实时电源跟踪功放技术，高效功率放大电路设计。</w:t>
            </w:r>
            <w:r>
              <w:rPr>
                <w:rFonts w:hint="eastAsia" w:ascii="宋体" w:hAnsi="宋体" w:cs="宋体"/>
                <w:kern w:val="0"/>
                <w:szCs w:val="21"/>
              </w:rPr>
              <w:br w:type="textWrapping"/>
            </w:r>
            <w:r>
              <w:rPr>
                <w:rFonts w:hint="eastAsia" w:ascii="宋体" w:hAnsi="宋体" w:cs="宋体"/>
                <w:kern w:val="0"/>
                <w:szCs w:val="21"/>
              </w:rPr>
              <w:t>2、支持开关机自动软启动。</w:t>
            </w:r>
            <w:r>
              <w:rPr>
                <w:rFonts w:hint="eastAsia" w:ascii="宋体" w:hAnsi="宋体" w:cs="宋体"/>
                <w:kern w:val="0"/>
                <w:szCs w:val="21"/>
              </w:rPr>
              <w:br w:type="textWrapping"/>
            </w:r>
            <w:r>
              <w:rPr>
                <w:rFonts w:hint="eastAsia" w:ascii="宋体" w:hAnsi="宋体" w:cs="宋体"/>
                <w:kern w:val="0"/>
                <w:szCs w:val="21"/>
              </w:rPr>
              <w:t>3、零交越失真；ZVS、ZCS软开关电源的功能，达到92%的超高系统效率。</w:t>
            </w:r>
            <w:r>
              <w:rPr>
                <w:rFonts w:hint="eastAsia" w:ascii="宋体" w:hAnsi="宋体" w:cs="宋体"/>
                <w:kern w:val="0"/>
                <w:szCs w:val="21"/>
              </w:rPr>
              <w:br w:type="textWrapping"/>
            </w:r>
            <w:r>
              <w:rPr>
                <w:rFonts w:hint="eastAsia" w:ascii="宋体" w:hAnsi="宋体" w:cs="宋体"/>
                <w:kern w:val="0"/>
                <w:szCs w:val="21"/>
              </w:rPr>
              <w:t>4、内置音频变压器作为系统隔离。</w:t>
            </w:r>
            <w:r>
              <w:rPr>
                <w:rFonts w:hint="eastAsia" w:ascii="宋体" w:hAnsi="宋体" w:cs="宋体"/>
                <w:kern w:val="0"/>
                <w:szCs w:val="21"/>
              </w:rPr>
              <w:br w:type="textWrapping"/>
            </w:r>
            <w:r>
              <w:rPr>
                <w:rFonts w:hint="eastAsia" w:ascii="宋体" w:hAnsi="宋体" w:cs="宋体"/>
                <w:kern w:val="0"/>
                <w:szCs w:val="21"/>
              </w:rPr>
              <w:t>5、内置智能削顶失真和过流压限系统。</w:t>
            </w:r>
            <w:r>
              <w:rPr>
                <w:rFonts w:hint="eastAsia" w:ascii="宋体" w:hAnsi="宋体" w:cs="宋体"/>
                <w:kern w:val="0"/>
                <w:szCs w:val="21"/>
              </w:rPr>
              <w:br w:type="textWrapping"/>
            </w:r>
            <w:r>
              <w:rPr>
                <w:rFonts w:hint="eastAsia" w:ascii="宋体" w:hAnsi="宋体" w:cs="宋体"/>
                <w:kern w:val="0"/>
                <w:szCs w:val="21"/>
              </w:rPr>
              <w:t>6、二种定压输出模式：70V/100V，输出功率2000W。</w:t>
            </w:r>
            <w:r>
              <w:rPr>
                <w:rFonts w:hint="eastAsia" w:ascii="宋体" w:hAnsi="宋体" w:cs="宋体"/>
                <w:kern w:val="0"/>
                <w:szCs w:val="21"/>
              </w:rPr>
              <w:br w:type="textWrapping"/>
            </w:r>
            <w:r>
              <w:rPr>
                <w:rFonts w:hint="eastAsia" w:ascii="宋体" w:hAnsi="宋体" w:cs="宋体"/>
                <w:kern w:val="0"/>
                <w:szCs w:val="21"/>
              </w:rPr>
              <w:t>7、内置自动温度控制风扇冷却系统。</w:t>
            </w:r>
            <w:r>
              <w:rPr>
                <w:rFonts w:hint="eastAsia" w:ascii="宋体" w:hAnsi="宋体" w:cs="宋体"/>
                <w:kern w:val="0"/>
                <w:szCs w:val="21"/>
              </w:rPr>
              <w:br w:type="textWrapping"/>
            </w:r>
            <w:r>
              <w:rPr>
                <w:rFonts w:hint="eastAsia" w:ascii="宋体" w:hAnsi="宋体" w:cs="宋体"/>
                <w:kern w:val="0"/>
                <w:szCs w:val="21"/>
              </w:rPr>
              <w:t>8、过温、过压，欠压，过流，短路多重智能检测保护系统。</w:t>
            </w:r>
            <w:r>
              <w:rPr>
                <w:rFonts w:hint="eastAsia" w:ascii="宋体" w:hAnsi="宋体" w:cs="宋体"/>
                <w:kern w:val="0"/>
                <w:szCs w:val="21"/>
              </w:rPr>
              <w:br w:type="textWrapping"/>
            </w:r>
            <w:r>
              <w:rPr>
                <w:rFonts w:hint="eastAsia" w:ascii="宋体" w:hAnsi="宋体" w:cs="宋体"/>
                <w:kern w:val="0"/>
                <w:szCs w:val="21"/>
              </w:rPr>
              <w:t>9、1通道LINE非平衡TRS/XLR输入（阻抗775mV/10KΩ），1通道LINE平衡XLR级联输出（阻抗775mV/470Ω）。</w:t>
            </w:r>
            <w:r>
              <w:rPr>
                <w:rFonts w:hint="eastAsia" w:ascii="宋体" w:hAnsi="宋体" w:cs="宋体"/>
                <w:kern w:val="0"/>
                <w:szCs w:val="21"/>
              </w:rPr>
              <w:br w:type="textWrapping"/>
            </w:r>
            <w:r>
              <w:rPr>
                <w:rFonts w:hint="eastAsia" w:ascii="宋体" w:hAnsi="宋体" w:cs="宋体"/>
                <w:kern w:val="0"/>
                <w:szCs w:val="21"/>
              </w:rPr>
              <w:t>10、面板带音量调节旋钮。</w:t>
            </w:r>
            <w:r>
              <w:rPr>
                <w:rFonts w:hint="eastAsia" w:ascii="宋体" w:hAnsi="宋体" w:cs="宋体"/>
                <w:kern w:val="0"/>
                <w:szCs w:val="21"/>
              </w:rPr>
              <w:br w:type="textWrapping"/>
            </w:r>
            <w:r>
              <w:rPr>
                <w:rFonts w:hint="eastAsia" w:ascii="宋体" w:hAnsi="宋体" w:cs="宋体"/>
                <w:kern w:val="0"/>
                <w:szCs w:val="21"/>
              </w:rPr>
              <w:t>11、频率响应范围80Hz～16KHz(+1dB,-3dB)；信噪比&gt;90dB。</w:t>
            </w:r>
            <w:r>
              <w:rPr>
                <w:rFonts w:hint="eastAsia" w:ascii="宋体" w:hAnsi="宋体" w:cs="宋体"/>
                <w:kern w:val="0"/>
                <w:szCs w:val="21"/>
              </w:rPr>
              <w:br w:type="textWrapping"/>
            </w:r>
            <w:r>
              <w:rPr>
                <w:rFonts w:hint="eastAsia" w:ascii="宋体" w:hAnsi="宋体" w:cs="宋体"/>
                <w:kern w:val="0"/>
                <w:szCs w:val="21"/>
              </w:rPr>
              <w:t>12、总谐波失真：1KHz时0.5%,1/3输出功率。</w:t>
            </w:r>
            <w:r>
              <w:rPr>
                <w:rFonts w:hint="eastAsia" w:ascii="宋体" w:hAnsi="宋体" w:cs="宋体"/>
                <w:kern w:val="0"/>
                <w:szCs w:val="21"/>
              </w:rPr>
              <w:br w:type="textWrapping"/>
            </w:r>
            <w:r>
              <w:rPr>
                <w:rFonts w:hint="eastAsia" w:ascii="宋体" w:hAnsi="宋体" w:cs="宋体"/>
                <w:kern w:val="0"/>
                <w:szCs w:val="21"/>
              </w:rPr>
              <w:t xml:space="preserve">13、“地”线悬浮开关：信号“地”线可选接机箱或是悬浮 。                        </w:t>
            </w:r>
            <w:r>
              <w:rPr>
                <w:rFonts w:ascii="宋体" w:hAnsi="宋体" w:cs="宋体"/>
                <w:kern w:val="0"/>
                <w:szCs w:val="21"/>
              </w:rPr>
              <w:t xml:space="preserve">     </w:t>
            </w:r>
            <w:r>
              <w:rPr>
                <w:rFonts w:hint="eastAsia" w:ascii="宋体" w:hAnsi="宋体" w:cs="宋体"/>
                <w:kern w:val="0"/>
                <w:szCs w:val="21"/>
              </w:rPr>
              <w:t>14、所投产品厂家需获得省级和国家级教育装备行业协会会员证书，获得国家级教育技术协会会员证书。</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音柱</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1．额定功率(100V)：≥90W</w:t>
            </w:r>
            <w:r>
              <w:rPr>
                <w:rFonts w:hint="eastAsia" w:ascii="宋体" w:hAnsi="宋体" w:cs="宋体"/>
                <w:kern w:val="0"/>
                <w:szCs w:val="21"/>
              </w:rPr>
              <w:br w:type="textWrapping"/>
            </w:r>
            <w:r>
              <w:rPr>
                <w:rFonts w:hint="eastAsia" w:ascii="宋体" w:hAnsi="宋体" w:cs="宋体"/>
                <w:kern w:val="0"/>
                <w:szCs w:val="21"/>
              </w:rPr>
              <w:t>2．额定功率(70V)：≥45W</w:t>
            </w:r>
            <w:r>
              <w:rPr>
                <w:rFonts w:hint="eastAsia" w:ascii="宋体" w:hAnsi="宋体" w:cs="宋体"/>
                <w:kern w:val="0"/>
                <w:szCs w:val="21"/>
              </w:rPr>
              <w:br w:type="textWrapping"/>
            </w:r>
            <w:r>
              <w:rPr>
                <w:rFonts w:hint="eastAsia" w:ascii="宋体" w:hAnsi="宋体" w:cs="宋体"/>
                <w:kern w:val="0"/>
                <w:szCs w:val="21"/>
              </w:rPr>
              <w:t>3．灵敏度≥93dB</w:t>
            </w:r>
            <w:r>
              <w:rPr>
                <w:rFonts w:hint="eastAsia" w:ascii="宋体" w:hAnsi="宋体" w:cs="宋体"/>
                <w:kern w:val="0"/>
                <w:szCs w:val="21"/>
              </w:rPr>
              <w:br w:type="textWrapping"/>
            </w:r>
            <w:r>
              <w:rPr>
                <w:rFonts w:hint="eastAsia" w:ascii="宋体" w:hAnsi="宋体" w:cs="宋体"/>
                <w:kern w:val="0"/>
                <w:szCs w:val="21"/>
              </w:rPr>
              <w:t>4．频率响应：100-20KHz</w:t>
            </w:r>
            <w:r>
              <w:rPr>
                <w:rFonts w:hint="eastAsia" w:ascii="宋体" w:hAnsi="宋体" w:cs="宋体"/>
                <w:kern w:val="0"/>
                <w:szCs w:val="21"/>
              </w:rPr>
              <w:br w:type="textWrapping"/>
            </w:r>
            <w:r>
              <w:rPr>
                <w:rFonts w:hint="eastAsia" w:ascii="宋体" w:hAnsi="宋体" w:cs="宋体"/>
                <w:kern w:val="0"/>
                <w:szCs w:val="21"/>
              </w:rPr>
              <w:t>5．喇叭单元：4"×3,3"×1</w:t>
            </w:r>
            <w:r>
              <w:rPr>
                <w:rFonts w:hint="eastAsia" w:ascii="宋体" w:hAnsi="宋体" w:cs="宋体"/>
                <w:kern w:val="0"/>
                <w:szCs w:val="21"/>
              </w:rPr>
              <w:br w:type="textWrapping"/>
            </w:r>
            <w:r>
              <w:rPr>
                <w:rFonts w:hint="eastAsia" w:ascii="宋体" w:hAnsi="宋体" w:cs="宋体"/>
                <w:kern w:val="0"/>
                <w:szCs w:val="21"/>
              </w:rPr>
              <w:t>6.防护等级：≥IP66</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20</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前端机柜</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1、规格：≥800*800*2045mm</w:t>
            </w:r>
            <w:r>
              <w:rPr>
                <w:rFonts w:hint="eastAsia" w:ascii="宋体" w:hAnsi="宋体" w:cs="宋体"/>
                <w:kern w:val="0"/>
                <w:szCs w:val="21"/>
              </w:rPr>
              <w:br w:type="textWrapping"/>
            </w:r>
            <w:r>
              <w:rPr>
                <w:rFonts w:hint="eastAsia" w:ascii="宋体" w:hAnsi="宋体" w:cs="宋体"/>
                <w:kern w:val="0"/>
                <w:szCs w:val="21"/>
              </w:rPr>
              <w:t>2、材料：采用高强度的优质冷轧钢板，其中方孔条(内角规)及承重部分材料厚度为≥2.0mm，其它材料厚度为≥1.2mm</w:t>
            </w:r>
            <w:r>
              <w:rPr>
                <w:rFonts w:hint="eastAsia" w:ascii="宋体" w:hAnsi="宋体" w:cs="宋体"/>
                <w:kern w:val="0"/>
                <w:szCs w:val="21"/>
              </w:rPr>
              <w:br w:type="textWrapping"/>
            </w:r>
            <w:r>
              <w:rPr>
                <w:rFonts w:hint="eastAsia" w:ascii="宋体" w:hAnsi="宋体" w:cs="宋体"/>
                <w:kern w:val="0"/>
                <w:szCs w:val="21"/>
              </w:rPr>
              <w:t>3、结构：前门为单开高密度平板网孔门，具有良好的通风散热能力</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2" w:type="dxa"/>
            <w:gridSpan w:val="6"/>
            <w:shd w:val="clear" w:color="000000" w:fill="FFFFFF"/>
            <w:noWrap/>
            <w:vAlign w:val="center"/>
          </w:tcPr>
          <w:p>
            <w:pPr>
              <w:widowControl/>
              <w:spacing w:line="360" w:lineRule="auto"/>
              <w:jc w:val="left"/>
              <w:rPr>
                <w:rFonts w:ascii="宋体" w:hAnsi="宋体" w:cs="宋体"/>
                <w:b/>
                <w:bCs/>
                <w:kern w:val="0"/>
                <w:szCs w:val="21"/>
              </w:rPr>
            </w:pPr>
            <w:r>
              <w:rPr>
                <w:rFonts w:hint="eastAsia" w:ascii="宋体" w:hAnsi="宋体" w:cs="宋体"/>
                <w:b/>
                <w:bCs/>
                <w:kern w:val="0"/>
                <w:szCs w:val="21"/>
              </w:rPr>
              <w:t>3、实施辅材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音箱线</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规格：≥RVVP2*1.5</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6000</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米</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配管</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1.名称:PVC电线管</w:t>
            </w:r>
            <w:r>
              <w:rPr>
                <w:rFonts w:hint="eastAsia" w:ascii="宋体" w:hAnsi="宋体" w:cs="宋体"/>
                <w:kern w:val="0"/>
                <w:szCs w:val="21"/>
              </w:rPr>
              <w:br w:type="textWrapping"/>
            </w:r>
            <w:r>
              <w:rPr>
                <w:rFonts w:hint="eastAsia" w:ascii="宋体" w:hAnsi="宋体" w:cs="宋体"/>
                <w:kern w:val="0"/>
                <w:szCs w:val="21"/>
              </w:rPr>
              <w:t>2.规格:≥DN25</w:t>
            </w:r>
            <w:r>
              <w:rPr>
                <w:rFonts w:hint="eastAsia" w:ascii="宋体" w:hAnsi="宋体" w:cs="宋体"/>
                <w:kern w:val="0"/>
                <w:szCs w:val="21"/>
              </w:rPr>
              <w:br w:type="textWrapping"/>
            </w:r>
            <w:r>
              <w:rPr>
                <w:rFonts w:hint="eastAsia" w:ascii="宋体" w:hAnsi="宋体" w:cs="宋体"/>
                <w:kern w:val="0"/>
                <w:szCs w:val="21"/>
              </w:rPr>
              <w:t>3.配置形式:明配</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3000</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米 </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室外立杆</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 xml:space="preserve">定制室外立杆，≥3.5米高，不锈钢立杆，含基础笼等基建 </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20</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条</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4</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室外立杆基础</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接地网小于10欧母</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20</w:t>
            </w:r>
          </w:p>
        </w:tc>
        <w:tc>
          <w:tcPr>
            <w:tcW w:w="709"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5</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辅材</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PVC管配件，水晶头等</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6</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室外开挖及回填处理</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室外开挖及回填处理</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500</w:t>
            </w:r>
          </w:p>
        </w:tc>
        <w:tc>
          <w:tcPr>
            <w:tcW w:w="709"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米 </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7</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水泥路面开挖及回填处理</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水泥路面开挖及回填处理</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600</w:t>
            </w:r>
          </w:p>
        </w:tc>
        <w:tc>
          <w:tcPr>
            <w:tcW w:w="709"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米 </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8</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安装服务费</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广播系统安装、调试。（含音箱布线，机柜、音柱、功放等安装调试）</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项</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2" w:type="dxa"/>
            <w:gridSpan w:val="6"/>
            <w:shd w:val="clear" w:color="000000" w:fill="FFFFFF"/>
            <w:noWrap/>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三、监控安防系统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2" w:type="dxa"/>
            <w:gridSpan w:val="6"/>
            <w:shd w:val="clear" w:color="000000" w:fill="FFFFFF"/>
            <w:noWrap/>
            <w:vAlign w:val="center"/>
          </w:tcPr>
          <w:p>
            <w:pPr>
              <w:widowControl/>
              <w:spacing w:line="360" w:lineRule="auto"/>
              <w:jc w:val="left"/>
              <w:rPr>
                <w:rFonts w:ascii="宋体" w:hAnsi="宋体" w:cs="宋体"/>
                <w:b/>
                <w:bCs/>
                <w:kern w:val="0"/>
                <w:szCs w:val="21"/>
              </w:rPr>
            </w:pPr>
            <w:r>
              <w:rPr>
                <w:rFonts w:hint="eastAsia" w:ascii="宋体" w:hAnsi="宋体" w:cs="宋体"/>
                <w:b/>
                <w:bCs/>
                <w:kern w:val="0"/>
                <w:szCs w:val="21"/>
              </w:rPr>
              <w:t>1、周界视频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网络摄像机</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1、传感器:具有≥400万像素1/3”CMOS传感器。</w:t>
            </w:r>
            <w:r>
              <w:rPr>
                <w:rFonts w:hint="eastAsia" w:ascii="宋体" w:hAnsi="宋体" w:cs="宋体"/>
                <w:kern w:val="0"/>
                <w:szCs w:val="21"/>
              </w:rPr>
              <w:br w:type="textWrapping"/>
            </w:r>
            <w:r>
              <w:rPr>
                <w:rFonts w:hint="eastAsia" w:ascii="宋体" w:hAnsi="宋体" w:cs="宋体"/>
                <w:kern w:val="0"/>
                <w:szCs w:val="21"/>
              </w:rPr>
              <w:t>▲2、低照度:最低照度彩色：0.001lx，黑白：0.0001lx，灰度等级不小于11级。（提供公安部检测机构产品检验报告复印件证明并加盖公章)</w:t>
            </w:r>
            <w:r>
              <w:rPr>
                <w:rFonts w:hint="eastAsia" w:ascii="宋体" w:hAnsi="宋体" w:cs="宋体"/>
                <w:kern w:val="0"/>
                <w:szCs w:val="21"/>
              </w:rPr>
              <w:br w:type="textWrapping"/>
            </w:r>
            <w:r>
              <w:rPr>
                <w:rFonts w:hint="eastAsia" w:ascii="宋体" w:hAnsi="宋体" w:cs="宋体"/>
                <w:kern w:val="0"/>
                <w:szCs w:val="21"/>
              </w:rPr>
              <w:t>3、红外距离:红外补光距离不小于50米。</w:t>
            </w:r>
            <w:r>
              <w:rPr>
                <w:rFonts w:hint="eastAsia" w:ascii="宋体" w:hAnsi="宋体" w:cs="宋体"/>
                <w:kern w:val="0"/>
                <w:szCs w:val="21"/>
              </w:rPr>
              <w:br w:type="textWrapping"/>
            </w:r>
            <w:r>
              <w:rPr>
                <w:rFonts w:hint="eastAsia" w:ascii="宋体" w:hAnsi="宋体" w:cs="宋体"/>
                <w:kern w:val="0"/>
                <w:szCs w:val="21"/>
              </w:rPr>
              <w:t>4、视频输出:需支持三码流技术，可同时输出三路码流，主码流最高2560x1440@30fps，第三码流最大2560x1440@30fps，子码流704x576@30fps。</w:t>
            </w:r>
            <w:r>
              <w:rPr>
                <w:rFonts w:hint="eastAsia" w:ascii="宋体" w:hAnsi="宋体" w:cs="宋体"/>
                <w:kern w:val="0"/>
                <w:szCs w:val="21"/>
              </w:rPr>
              <w:br w:type="textWrapping"/>
            </w:r>
            <w:r>
              <w:rPr>
                <w:rFonts w:hint="eastAsia" w:ascii="宋体" w:hAnsi="宋体" w:cs="宋体"/>
                <w:kern w:val="0"/>
                <w:szCs w:val="21"/>
              </w:rPr>
              <w:t>清晰度:在2560x1440@25fps下，清晰度不小于1400TVL。</w:t>
            </w:r>
            <w:r>
              <w:rPr>
                <w:rFonts w:hint="eastAsia" w:ascii="宋体" w:hAnsi="宋体" w:cs="宋体"/>
                <w:kern w:val="0"/>
                <w:szCs w:val="21"/>
              </w:rPr>
              <w:br w:type="textWrapping"/>
            </w:r>
            <w:r>
              <w:rPr>
                <w:rFonts w:hint="eastAsia" w:ascii="宋体" w:hAnsi="宋体" w:cs="宋体"/>
                <w:kern w:val="0"/>
                <w:szCs w:val="21"/>
              </w:rPr>
              <w:t>5、编码格式:支持H.264、H.265、MJPEG视频编码格式，且具有HighProfile编码能力。</w:t>
            </w:r>
            <w:r>
              <w:rPr>
                <w:rFonts w:hint="eastAsia" w:ascii="宋体" w:hAnsi="宋体" w:cs="宋体"/>
                <w:kern w:val="0"/>
                <w:szCs w:val="21"/>
              </w:rPr>
              <w:br w:type="textWrapping"/>
            </w:r>
            <w:r>
              <w:rPr>
                <w:rFonts w:hint="eastAsia" w:ascii="宋体" w:hAnsi="宋体" w:cs="宋体"/>
                <w:kern w:val="0"/>
                <w:szCs w:val="21"/>
              </w:rPr>
              <w:t>▲6、智能编码:同一静止场景相同图像质量下，设备在H.265编码方式时，开启智能编码功能和不开启智能编码相比，码率节约1/2。（提供公安部检测机构产品检验报告复印件证明并加盖公章)</w:t>
            </w:r>
            <w:r>
              <w:rPr>
                <w:rFonts w:hint="eastAsia" w:ascii="宋体" w:hAnsi="宋体" w:cs="宋体"/>
                <w:kern w:val="0"/>
                <w:szCs w:val="21"/>
              </w:rPr>
              <w:br w:type="textWrapping"/>
            </w:r>
            <w:r>
              <w:rPr>
                <w:rFonts w:hint="eastAsia" w:ascii="宋体" w:hAnsi="宋体" w:cs="宋体"/>
                <w:kern w:val="0"/>
                <w:szCs w:val="21"/>
              </w:rPr>
              <w:t>▲7、存储卡锁定:支持对存储卡进行读写锁定，锁定后的存储卡在移动终端需要密码才能访问。（提供公安部检测机构产品检验报告复印件证明并加盖公章)</w:t>
            </w:r>
            <w:r>
              <w:rPr>
                <w:rFonts w:hint="eastAsia" w:ascii="宋体" w:hAnsi="宋体" w:cs="宋体"/>
                <w:kern w:val="0"/>
                <w:szCs w:val="21"/>
              </w:rPr>
              <w:br w:type="textWrapping"/>
            </w:r>
            <w:r>
              <w:rPr>
                <w:rFonts w:hint="eastAsia" w:ascii="宋体" w:hAnsi="宋体" w:cs="宋体"/>
                <w:kern w:val="0"/>
                <w:szCs w:val="21"/>
              </w:rPr>
              <w:t>8、智能功能:需具备人脸检测、区域入侵检测、越界检测、虚焦检测、进入区域、离开区域、徘徊、人员聚集、逆行、场景变更等功能。</w:t>
            </w:r>
            <w:r>
              <w:rPr>
                <w:rFonts w:hint="eastAsia" w:ascii="宋体" w:hAnsi="宋体" w:cs="宋体"/>
                <w:kern w:val="0"/>
                <w:szCs w:val="21"/>
              </w:rPr>
              <w:br w:type="textWrapping"/>
            </w:r>
            <w:r>
              <w:rPr>
                <w:rFonts w:hint="eastAsia" w:ascii="宋体" w:hAnsi="宋体" w:cs="宋体"/>
                <w:kern w:val="0"/>
                <w:szCs w:val="21"/>
              </w:rPr>
              <w:t>9、应用功能:需具有电子防抖、ROI感兴趣区域、SVC可伸缩编码、自动增益、背光补偿、数字降噪、强光抑制、走廊模式、视频水印等功能。</w:t>
            </w:r>
            <w:r>
              <w:rPr>
                <w:rFonts w:hint="eastAsia" w:ascii="宋体" w:hAnsi="宋体" w:cs="宋体"/>
                <w:kern w:val="0"/>
                <w:szCs w:val="21"/>
              </w:rPr>
              <w:br w:type="textWrapping"/>
            </w:r>
            <w:r>
              <w:rPr>
                <w:rFonts w:hint="eastAsia" w:ascii="宋体" w:hAnsi="宋体" w:cs="宋体"/>
                <w:kern w:val="0"/>
                <w:szCs w:val="21"/>
              </w:rPr>
              <w:t>10、工作环境:摄像机能够在-30~60摄氏度，湿度小于93%环境下稳定工作。</w:t>
            </w:r>
            <w:r>
              <w:rPr>
                <w:rFonts w:hint="eastAsia" w:ascii="宋体" w:hAnsi="宋体" w:cs="宋体"/>
                <w:kern w:val="0"/>
                <w:szCs w:val="21"/>
              </w:rPr>
              <w:br w:type="textWrapping"/>
            </w:r>
            <w:r>
              <w:rPr>
                <w:rFonts w:hint="eastAsia" w:ascii="宋体" w:hAnsi="宋体" w:cs="宋体"/>
                <w:kern w:val="0"/>
                <w:szCs w:val="21"/>
              </w:rPr>
              <w:t>网络传输能力:设备与客户端之间用100米网线进行传输，数据包丢包率小于0.1%。</w:t>
            </w:r>
            <w:r>
              <w:rPr>
                <w:rFonts w:hint="eastAsia" w:ascii="宋体" w:hAnsi="宋体" w:cs="宋体"/>
                <w:kern w:val="0"/>
                <w:szCs w:val="21"/>
              </w:rPr>
              <w:br w:type="textWrapping"/>
            </w:r>
            <w:r>
              <w:rPr>
                <w:rFonts w:hint="eastAsia" w:ascii="宋体" w:hAnsi="宋体" w:cs="宋体"/>
                <w:kern w:val="0"/>
                <w:szCs w:val="21"/>
              </w:rPr>
              <w:t>11、防护能力:不低于IP67防尘防水等级。设备工作状态时，支持空气放电8kV，接触放电6kV，通讯端口支持6kV峰值电压。</w:t>
            </w:r>
            <w:r>
              <w:rPr>
                <w:rFonts w:hint="eastAsia" w:ascii="宋体" w:hAnsi="宋体" w:cs="宋体"/>
                <w:kern w:val="0"/>
                <w:szCs w:val="21"/>
              </w:rPr>
              <w:br w:type="textWrapping"/>
            </w:r>
            <w:r>
              <w:rPr>
                <w:rFonts w:hint="eastAsia" w:ascii="宋体" w:hAnsi="宋体" w:cs="宋体"/>
                <w:kern w:val="0"/>
                <w:szCs w:val="21"/>
              </w:rPr>
              <w:t>12、电源:需支持DC12V供电，且在不小于DC12V±30%范围内变化时可以正常工作。</w:t>
            </w:r>
          </w:p>
        </w:tc>
        <w:tc>
          <w:tcPr>
            <w:tcW w:w="851"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70</w:t>
            </w:r>
          </w:p>
        </w:tc>
        <w:tc>
          <w:tcPr>
            <w:tcW w:w="709"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智能球机</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1、传感器:枪机：≥400万传感器  球机：≥400万传感器</w:t>
            </w:r>
            <w:r>
              <w:rPr>
                <w:rFonts w:hint="eastAsia" w:ascii="宋体" w:hAnsi="宋体" w:cs="宋体"/>
                <w:kern w:val="0"/>
                <w:szCs w:val="21"/>
              </w:rPr>
              <w:br w:type="textWrapping"/>
            </w:r>
            <w:r>
              <w:rPr>
                <w:rFonts w:hint="eastAsia" w:ascii="宋体" w:hAnsi="宋体" w:cs="宋体"/>
                <w:kern w:val="0"/>
                <w:szCs w:val="21"/>
              </w:rPr>
              <w:t>2、设备组成:枪球一体摄像机由枪机、球机和扬声器组成。（提供公安部检测机构产品检验报告复印件证明并加盖公章)</w:t>
            </w:r>
            <w:r>
              <w:rPr>
                <w:rFonts w:hint="eastAsia" w:ascii="宋体" w:hAnsi="宋体" w:cs="宋体"/>
                <w:kern w:val="0"/>
                <w:szCs w:val="21"/>
              </w:rPr>
              <w:br w:type="textWrapping"/>
            </w:r>
            <w:r>
              <w:rPr>
                <w:rFonts w:hint="eastAsia" w:ascii="宋体" w:hAnsi="宋体" w:cs="宋体"/>
                <w:kern w:val="0"/>
                <w:szCs w:val="21"/>
              </w:rPr>
              <w:t>▲3、设备参数:枪机靶面尺寸不小于1/1.8英寸；球机靶面尺寸不小于1/1.8英寸；枪机内置镜头，焦距范围2.8-12mm。（提供公安部检测机构产品检验报告复印件证明并加盖公章)</w:t>
            </w:r>
            <w:r>
              <w:rPr>
                <w:rFonts w:hint="eastAsia" w:ascii="宋体" w:hAnsi="宋体" w:cs="宋体"/>
                <w:kern w:val="0"/>
                <w:szCs w:val="21"/>
              </w:rPr>
              <w:br w:type="textWrapping"/>
            </w:r>
            <w:r>
              <w:rPr>
                <w:rFonts w:hint="eastAsia" w:ascii="宋体" w:hAnsi="宋体" w:cs="宋体"/>
                <w:kern w:val="0"/>
                <w:szCs w:val="21"/>
              </w:rPr>
              <w:t>4、球机参数:球机内置镜头，支持37倍光学变倍，镜头最大焦距不小于208mm。</w:t>
            </w:r>
            <w:r>
              <w:rPr>
                <w:rFonts w:hint="eastAsia" w:ascii="宋体" w:hAnsi="宋体" w:cs="宋体"/>
                <w:kern w:val="0"/>
                <w:szCs w:val="21"/>
              </w:rPr>
              <w:br w:type="textWrapping"/>
            </w:r>
            <w:r>
              <w:rPr>
                <w:rFonts w:hint="eastAsia" w:ascii="宋体" w:hAnsi="宋体" w:cs="宋体"/>
                <w:kern w:val="0"/>
                <w:szCs w:val="21"/>
              </w:rPr>
              <w:t>▲5、GPU芯片:枪球一体机内置不少于2个GPU芯片，可输出不少于两路视频图像（提供公安部检测机构产品检验报告复印件证明并加盖公章)</w:t>
            </w:r>
            <w:r>
              <w:rPr>
                <w:rFonts w:hint="eastAsia" w:ascii="宋体" w:hAnsi="宋体" w:cs="宋体"/>
                <w:kern w:val="0"/>
                <w:szCs w:val="21"/>
              </w:rPr>
              <w:br w:type="textWrapping"/>
            </w:r>
            <w:r>
              <w:rPr>
                <w:rFonts w:hint="eastAsia" w:ascii="宋体" w:hAnsi="宋体" w:cs="宋体"/>
                <w:kern w:val="0"/>
                <w:szCs w:val="21"/>
              </w:rPr>
              <w:t>6、最低照度:支持最低照度可达彩色≥0.0002Lux，黑白≥0.0001Lux</w:t>
            </w:r>
            <w:r>
              <w:rPr>
                <w:rFonts w:hint="eastAsia" w:ascii="宋体" w:hAnsi="宋体" w:cs="宋体"/>
                <w:kern w:val="0"/>
                <w:szCs w:val="21"/>
              </w:rPr>
              <w:br w:type="textWrapping"/>
            </w:r>
            <w:r>
              <w:rPr>
                <w:rFonts w:hint="eastAsia" w:ascii="宋体" w:hAnsi="宋体" w:cs="宋体"/>
                <w:kern w:val="0"/>
                <w:szCs w:val="21"/>
              </w:rPr>
              <w:t>7、分辨率与帧率:视频分辨率与帧率不小于2560×1440、60帧/秒</w:t>
            </w:r>
            <w:r>
              <w:rPr>
                <w:rFonts w:hint="eastAsia" w:ascii="宋体" w:hAnsi="宋体" w:cs="宋体"/>
                <w:kern w:val="0"/>
                <w:szCs w:val="21"/>
              </w:rPr>
              <w:br w:type="textWrapping"/>
            </w:r>
            <w:r>
              <w:rPr>
                <w:rFonts w:hint="eastAsia" w:ascii="宋体" w:hAnsi="宋体" w:cs="宋体"/>
                <w:kern w:val="0"/>
                <w:szCs w:val="21"/>
              </w:rPr>
              <w:t>▲8、人体轮廓识别:枪机红外灯开启时，可识别距设备不小于50米处的人体轮廓；枪机白光灯开启时，可识别距设备不小于30米处的人体轮廓；（提供公安部检测报告证明并加盖公章）</w:t>
            </w:r>
            <w:r>
              <w:rPr>
                <w:rFonts w:hint="eastAsia" w:ascii="宋体" w:hAnsi="宋体" w:cs="宋体"/>
                <w:kern w:val="0"/>
                <w:szCs w:val="21"/>
              </w:rPr>
              <w:br w:type="textWrapping"/>
            </w:r>
            <w:r>
              <w:rPr>
                <w:rFonts w:hint="eastAsia" w:ascii="宋体" w:hAnsi="宋体" w:cs="宋体"/>
                <w:kern w:val="0"/>
                <w:szCs w:val="21"/>
              </w:rPr>
              <w:t>9、红外距离:球机红外距离不小于250米</w:t>
            </w:r>
            <w:r>
              <w:rPr>
                <w:rFonts w:hint="eastAsia" w:ascii="宋体" w:hAnsi="宋体" w:cs="宋体"/>
                <w:kern w:val="0"/>
                <w:szCs w:val="21"/>
              </w:rPr>
              <w:br w:type="textWrapping"/>
            </w:r>
            <w:r>
              <w:rPr>
                <w:rFonts w:hint="eastAsia" w:ascii="宋体" w:hAnsi="宋体" w:cs="宋体"/>
                <w:kern w:val="0"/>
                <w:szCs w:val="21"/>
              </w:rPr>
              <w:t>10、客户端控制:可通过客户端软件控制枪机上/下/左/右运动，枪机水平旋转范围：-45°~45°，垂直旋转范围：-5°-30°（提供公安部检测报告证明并加盖公章）</w:t>
            </w:r>
            <w:r>
              <w:rPr>
                <w:rFonts w:hint="eastAsia" w:ascii="宋体" w:hAnsi="宋体" w:cs="宋体"/>
                <w:kern w:val="0"/>
                <w:szCs w:val="21"/>
              </w:rPr>
              <w:br w:type="textWrapping"/>
            </w:r>
            <w:r>
              <w:rPr>
                <w:rFonts w:hint="eastAsia" w:ascii="宋体" w:hAnsi="宋体" w:cs="宋体"/>
                <w:kern w:val="0"/>
                <w:szCs w:val="21"/>
              </w:rPr>
              <w:t>11、旋转范围:球机支持水平旋转范围为360°连续旋转，垂直旋转范围为-20°~90°</w:t>
            </w:r>
            <w:r>
              <w:rPr>
                <w:rFonts w:hint="eastAsia" w:ascii="宋体" w:hAnsi="宋体" w:cs="宋体"/>
                <w:kern w:val="0"/>
                <w:szCs w:val="21"/>
              </w:rPr>
              <w:br w:type="textWrapping"/>
            </w:r>
            <w:r>
              <w:rPr>
                <w:rFonts w:hint="eastAsia" w:ascii="宋体" w:hAnsi="宋体" w:cs="宋体"/>
                <w:kern w:val="0"/>
                <w:szCs w:val="21"/>
              </w:rPr>
              <w:t>12、声光报警功能:具备声光报警功能，在设定的检测区域内有报警事件触发时，可联动语音告警及白光灯闪烁</w:t>
            </w:r>
            <w:r>
              <w:rPr>
                <w:rFonts w:hint="eastAsia" w:ascii="宋体" w:hAnsi="宋体" w:cs="宋体"/>
                <w:kern w:val="0"/>
                <w:szCs w:val="21"/>
              </w:rPr>
              <w:br w:type="textWrapping"/>
            </w:r>
            <w:r>
              <w:rPr>
                <w:rFonts w:hint="eastAsia" w:ascii="宋体" w:hAnsi="宋体" w:cs="宋体"/>
                <w:kern w:val="0"/>
                <w:szCs w:val="21"/>
              </w:rPr>
              <w:t>13、智能分析功能:具备智能行为分析功能，支持人员聚集、剧烈运动检测，支持行为分析触发后联动聚焦</w:t>
            </w:r>
            <w:r>
              <w:rPr>
                <w:rFonts w:hint="eastAsia" w:ascii="宋体" w:hAnsi="宋体" w:cs="宋体"/>
                <w:kern w:val="0"/>
                <w:szCs w:val="21"/>
              </w:rPr>
              <w:br w:type="textWrapping"/>
            </w:r>
            <w:r>
              <w:rPr>
                <w:rFonts w:hint="eastAsia" w:ascii="宋体" w:hAnsi="宋体" w:cs="宋体"/>
                <w:kern w:val="0"/>
                <w:szCs w:val="21"/>
              </w:rPr>
              <w:t>▲14、自动标定:具备自动标定功能，可通过客户端软件对枪机进行一键自动标定，实现枪机与球机之间检测区域的定位，标定点的数量不小于6个。（提供公安部检测机构产品检验报告复印件证明并加盖公章)</w:t>
            </w:r>
            <w:r>
              <w:rPr>
                <w:rFonts w:hint="eastAsia" w:ascii="宋体" w:hAnsi="宋体" w:cs="宋体"/>
                <w:kern w:val="0"/>
                <w:szCs w:val="21"/>
              </w:rPr>
              <w:br w:type="textWrapping"/>
            </w:r>
            <w:r>
              <w:rPr>
                <w:rFonts w:hint="eastAsia" w:ascii="宋体" w:hAnsi="宋体" w:cs="宋体"/>
                <w:kern w:val="0"/>
                <w:szCs w:val="21"/>
              </w:rPr>
              <w:t>▲15、人脸车辆抓拍:设备可设置8个人脸抓拍场景，可按照设置的布防时间实现各个场景之间的巡航，布防时间可设；可抓拍距设备100米处的人脸，可抓拍距设备150米处的人体及车辆；设备可对检测区域内不小于40个人脸进行检测、跟踪和抓拍提供公安部检测机构产品检验报告复印件证明并加盖公章)</w:t>
            </w:r>
            <w:r>
              <w:rPr>
                <w:rFonts w:hint="eastAsia" w:ascii="宋体" w:hAnsi="宋体" w:cs="宋体"/>
                <w:kern w:val="0"/>
                <w:szCs w:val="21"/>
              </w:rPr>
              <w:br w:type="textWrapping"/>
            </w:r>
            <w:r>
              <w:rPr>
                <w:rFonts w:hint="eastAsia" w:ascii="宋体" w:hAnsi="宋体" w:cs="宋体"/>
                <w:kern w:val="0"/>
                <w:szCs w:val="21"/>
              </w:rPr>
              <w:t>▲16、人车统计:在混合目标检测模式下，可同时对行人、非机动车、机动车进行分类计数；在混合目标检测模式下，对监视区域中的行人、非机动车和机动车的统计准确率不低于99%；在混合目标检测模式下，可同时对行人、非机动车、机动车进行检测、跟踪及抓拍，可支持人脸与人体、车牌与车辆的关联显示。（提供公安部检测机构产品检验报告复印件证明并加盖公章)</w:t>
            </w:r>
            <w:r>
              <w:rPr>
                <w:rFonts w:hint="eastAsia" w:ascii="宋体" w:hAnsi="宋体" w:cs="宋体"/>
                <w:kern w:val="0"/>
                <w:szCs w:val="21"/>
              </w:rPr>
              <w:br w:type="textWrapping"/>
            </w:r>
            <w:r>
              <w:rPr>
                <w:rFonts w:hint="eastAsia" w:ascii="宋体" w:hAnsi="宋体" w:cs="宋体"/>
                <w:kern w:val="0"/>
                <w:szCs w:val="21"/>
              </w:rPr>
              <w:t>17、工作环境:电压在DC36V±25%范围内变化时，设备可正常工作。工作温度范围可达-40℃-70℃，支持IP67。支持IK10防暴等级。</w:t>
            </w:r>
          </w:p>
        </w:tc>
        <w:tc>
          <w:tcPr>
            <w:tcW w:w="851"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8</w:t>
            </w:r>
          </w:p>
        </w:tc>
        <w:tc>
          <w:tcPr>
            <w:tcW w:w="709"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 xml:space="preserve">网络存储设备 </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1、硬件参数:单设备配置≥64位多核处理器，≥8GB内存，内存支持扩展到≥32GB，内置SSD固态硬盘和≥24块IoT企业级硬盘（每块硬盘容量≥14T），配置冗余白金牌电源。（提供公安部检测机构产品检验报告复印件证明并加盖公章，电源需要提供照片证明并加盖公章）</w:t>
            </w:r>
          </w:p>
          <w:p>
            <w:pPr>
              <w:widowControl/>
              <w:spacing w:line="360" w:lineRule="auto"/>
              <w:jc w:val="left"/>
              <w:rPr>
                <w:rFonts w:ascii="宋体" w:hAnsi="宋体" w:cs="宋体"/>
                <w:kern w:val="0"/>
                <w:szCs w:val="21"/>
              </w:rPr>
            </w:pPr>
            <w:r>
              <w:rPr>
                <w:rFonts w:hint="eastAsia" w:ascii="宋体" w:hAnsi="宋体" w:cs="宋体"/>
                <w:kern w:val="0"/>
                <w:szCs w:val="21"/>
              </w:rPr>
              <w:t xml:space="preserve">2、设备接口:标配≥4个千兆网口，≥1个VGA接口，≥3个SAS接口，≥2个USB2.0接口，≥2个USB3.0接口。 </w:t>
            </w:r>
            <w:r>
              <w:rPr>
                <w:rFonts w:ascii="宋体" w:hAnsi="宋体" w:cs="宋体"/>
                <w:kern w:val="0"/>
                <w:szCs w:val="21"/>
              </w:rPr>
              <w:t xml:space="preserve">                          </w:t>
            </w:r>
            <w:r>
              <w:rPr>
                <w:rFonts w:hint="eastAsia" w:ascii="宋体" w:hAnsi="宋体" w:cs="宋体"/>
                <w:kern w:val="0"/>
                <w:szCs w:val="21"/>
              </w:rPr>
              <w:t>3、硬盘接入:可接入2T/3T/4T/6T/8T/10T/14T SATA磁盘，支持磁盘交错启动和漫游，并支持在线热插拔。</w:t>
            </w:r>
          </w:p>
          <w:p>
            <w:pPr>
              <w:widowControl/>
              <w:spacing w:line="360" w:lineRule="auto"/>
              <w:jc w:val="left"/>
              <w:rPr>
                <w:rFonts w:ascii="宋体" w:hAnsi="宋体" w:cs="宋体"/>
                <w:kern w:val="0"/>
                <w:szCs w:val="21"/>
              </w:rPr>
            </w:pPr>
            <w:r>
              <w:rPr>
                <w:rFonts w:hint="eastAsia" w:ascii="宋体" w:hAnsi="宋体" w:cs="宋体"/>
                <w:kern w:val="0"/>
                <w:szCs w:val="21"/>
              </w:rPr>
              <w:t>4、编码兼容:应能支持MPEG4、H.264、H.265、SVAC、4K编码格式的前端设备接入并存储录像。</w:t>
            </w:r>
          </w:p>
          <w:p>
            <w:pPr>
              <w:widowControl/>
              <w:spacing w:line="360" w:lineRule="auto"/>
              <w:jc w:val="left"/>
              <w:rPr>
                <w:rFonts w:ascii="宋体" w:hAnsi="宋体" w:cs="宋体"/>
                <w:kern w:val="0"/>
                <w:szCs w:val="21"/>
              </w:rPr>
            </w:pPr>
            <w:r>
              <w:rPr>
                <w:rFonts w:hint="eastAsia" w:ascii="宋体" w:hAnsi="宋体" w:cs="宋体"/>
                <w:kern w:val="0"/>
                <w:szCs w:val="21"/>
              </w:rPr>
              <w:t>5、录像性能:应能接入并存储1200Mbps视频图像，同时转发1200Mbps的视频图像；同时回放128Mbps的视频图像。</w:t>
            </w:r>
          </w:p>
          <w:p>
            <w:pPr>
              <w:widowControl/>
              <w:spacing w:line="360" w:lineRule="auto"/>
              <w:jc w:val="left"/>
              <w:rPr>
                <w:rFonts w:ascii="宋体" w:hAnsi="宋体" w:cs="宋体"/>
                <w:kern w:val="0"/>
                <w:szCs w:val="21"/>
              </w:rPr>
            </w:pPr>
            <w:r>
              <w:rPr>
                <w:rFonts w:hint="eastAsia" w:ascii="宋体" w:hAnsi="宋体" w:cs="宋体"/>
                <w:kern w:val="0"/>
                <w:szCs w:val="21"/>
              </w:rPr>
              <w:t>6、磁盘容量:单设备裸容量≥336TB存储空间，单设备≤4U。</w:t>
            </w:r>
          </w:p>
          <w:p>
            <w:pPr>
              <w:widowControl/>
              <w:spacing w:line="360" w:lineRule="auto"/>
              <w:jc w:val="left"/>
              <w:rPr>
                <w:rFonts w:ascii="宋体" w:hAnsi="宋体" w:cs="宋体"/>
                <w:kern w:val="0"/>
                <w:szCs w:val="21"/>
              </w:rPr>
            </w:pPr>
            <w:r>
              <w:rPr>
                <w:rFonts w:hint="eastAsia" w:ascii="宋体" w:hAnsi="宋体" w:cs="宋体"/>
                <w:kern w:val="0"/>
                <w:szCs w:val="21"/>
              </w:rPr>
              <w:t>7、RAID模式:提供RAID 0、1、3、5、6、10、50，60、JBOD模式，支持全局、局部等多种热备选择，支持坏盘自动重构。</w:t>
            </w:r>
          </w:p>
          <w:p>
            <w:pPr>
              <w:widowControl/>
              <w:spacing w:line="360" w:lineRule="auto"/>
              <w:jc w:val="left"/>
              <w:rPr>
                <w:rFonts w:ascii="宋体" w:hAnsi="宋体" w:cs="宋体"/>
                <w:kern w:val="0"/>
                <w:szCs w:val="21"/>
              </w:rPr>
            </w:pPr>
            <w:r>
              <w:rPr>
                <w:rFonts w:hint="eastAsia" w:ascii="宋体" w:hAnsi="宋体" w:cs="宋体"/>
                <w:kern w:val="0"/>
                <w:szCs w:val="21"/>
              </w:rPr>
              <w:t>8、RAID功能:应能在RAID内丢失2块（含）以上硬盘时，无需等待丢失盘恢复，保留盘数据可正常读取，新数据可正常写入。</w:t>
            </w:r>
          </w:p>
          <w:p>
            <w:pPr>
              <w:widowControl/>
              <w:spacing w:line="360" w:lineRule="auto"/>
              <w:jc w:val="left"/>
              <w:rPr>
                <w:rFonts w:ascii="宋体" w:hAnsi="宋体" w:cs="宋体"/>
                <w:kern w:val="0"/>
                <w:szCs w:val="21"/>
              </w:rPr>
            </w:pPr>
            <w:r>
              <w:rPr>
                <w:rFonts w:hint="eastAsia" w:ascii="宋体" w:hAnsi="宋体" w:cs="宋体"/>
                <w:kern w:val="0"/>
                <w:szCs w:val="21"/>
              </w:rPr>
              <w:t>9、双活技术:需具有双活功能，单机故障时不影响数据读写，保障数据安全。</w:t>
            </w:r>
          </w:p>
          <w:p>
            <w:pPr>
              <w:widowControl/>
              <w:spacing w:line="360" w:lineRule="auto"/>
              <w:jc w:val="left"/>
              <w:rPr>
                <w:rFonts w:ascii="宋体" w:hAnsi="宋体" w:cs="宋体"/>
                <w:kern w:val="0"/>
                <w:szCs w:val="21"/>
              </w:rPr>
            </w:pPr>
            <w:r>
              <w:rPr>
                <w:rFonts w:hint="eastAsia" w:ascii="宋体" w:hAnsi="宋体" w:cs="宋体"/>
                <w:kern w:val="0"/>
                <w:szCs w:val="21"/>
              </w:rPr>
              <w:t>10、分层存储:可根据数据对象的重要性、访问频率等属性对数据进行自动分层存储。</w:t>
            </w:r>
          </w:p>
          <w:p>
            <w:pPr>
              <w:widowControl/>
              <w:spacing w:line="360" w:lineRule="auto"/>
              <w:jc w:val="left"/>
              <w:rPr>
                <w:rFonts w:ascii="宋体" w:hAnsi="宋体" w:cs="宋体"/>
                <w:kern w:val="0"/>
                <w:szCs w:val="21"/>
              </w:rPr>
            </w:pPr>
            <w:r>
              <w:rPr>
                <w:rFonts w:hint="eastAsia" w:ascii="宋体" w:hAnsi="宋体" w:cs="宋体"/>
                <w:kern w:val="0"/>
                <w:szCs w:val="21"/>
              </w:rPr>
              <w:t>▲11、视频质量诊断功能:可支持视频质量诊断功能，对图像的亮度、偏色、对比度、清晰度、视频丢失、条纹干扰、视频噪声、视频虚焦等特征进行实时分析，并以日志、报表和图形化方式显示结果。（提供公安部检测机构产品检验报告复印件证明并加盖公章)</w:t>
            </w:r>
          </w:p>
          <w:p>
            <w:pPr>
              <w:widowControl/>
              <w:spacing w:line="360" w:lineRule="auto"/>
              <w:jc w:val="left"/>
              <w:rPr>
                <w:rFonts w:ascii="宋体" w:hAnsi="宋体" w:cs="宋体"/>
                <w:kern w:val="0"/>
                <w:szCs w:val="21"/>
              </w:rPr>
            </w:pPr>
            <w:r>
              <w:rPr>
                <w:rFonts w:hint="eastAsia" w:ascii="宋体" w:hAnsi="宋体" w:cs="宋体"/>
                <w:kern w:val="0"/>
                <w:szCs w:val="21"/>
              </w:rPr>
              <w:t>▲12、系统盘管理:系统盘支持RAID1模式，当主系统故障时，备用系统可接管工作。（提供公安部检测机构产品检验报告复印件证明并加盖公章并加盖公章)。</w:t>
            </w:r>
          </w:p>
          <w:p>
            <w:pPr>
              <w:widowControl/>
              <w:spacing w:line="360" w:lineRule="auto"/>
              <w:jc w:val="left"/>
              <w:rPr>
                <w:rFonts w:ascii="宋体" w:hAnsi="宋体" w:cs="宋体"/>
                <w:kern w:val="0"/>
                <w:szCs w:val="21"/>
              </w:rPr>
            </w:pPr>
            <w:r>
              <w:rPr>
                <w:rFonts w:hint="eastAsia" w:ascii="宋体" w:hAnsi="宋体" w:cs="宋体"/>
                <w:kern w:val="0"/>
                <w:szCs w:val="21"/>
              </w:rPr>
              <w:t>▲13、磁盘管理:在UI界面实时显示磁盘体检状态，对异常状态磁盘，可查看处理建议信息；可对磁盘温度异常、硬件链路异常、风扇转速异常、扇区介质异常进行监控，当发现异常情况时，可发出声光指示或通过E-mail报警。（提供公安部检测机构产品检验报告复印件证明并加盖公章)。</w:t>
            </w:r>
          </w:p>
          <w:p>
            <w:pPr>
              <w:widowControl/>
              <w:spacing w:line="360" w:lineRule="auto"/>
              <w:jc w:val="left"/>
              <w:rPr>
                <w:rFonts w:ascii="宋体" w:hAnsi="宋体" w:cs="宋体"/>
                <w:kern w:val="0"/>
                <w:szCs w:val="21"/>
              </w:rPr>
            </w:pPr>
            <w:r>
              <w:rPr>
                <w:rFonts w:hint="eastAsia" w:ascii="宋体" w:hAnsi="宋体" w:cs="宋体"/>
                <w:kern w:val="0"/>
                <w:szCs w:val="21"/>
              </w:rPr>
              <w:t>14、虚拟化系统:在不增加任何外围服务器硬件的情况下可由存储设备直接进行虚拟化系统部署。</w:t>
            </w:r>
          </w:p>
          <w:p>
            <w:pPr>
              <w:widowControl/>
              <w:spacing w:line="360" w:lineRule="auto"/>
              <w:jc w:val="left"/>
              <w:rPr>
                <w:rFonts w:ascii="宋体" w:hAnsi="宋体" w:cs="宋体"/>
                <w:kern w:val="0"/>
                <w:szCs w:val="21"/>
              </w:rPr>
            </w:pPr>
            <w:r>
              <w:rPr>
                <w:rFonts w:hint="eastAsia" w:ascii="宋体" w:hAnsi="宋体" w:cs="宋体"/>
                <w:kern w:val="0"/>
                <w:szCs w:val="21"/>
              </w:rPr>
              <w:t>15、视频检索:可在视频画面上绘制区域或界线，检索指定范围内的报警录像；输入车牌号码可检索出相关图片和视频；可按照报警事件进行检索。</w:t>
            </w:r>
          </w:p>
          <w:p>
            <w:pPr>
              <w:widowControl/>
              <w:spacing w:line="360" w:lineRule="auto"/>
              <w:jc w:val="left"/>
              <w:rPr>
                <w:rFonts w:ascii="宋体" w:hAnsi="宋体" w:cs="宋体"/>
                <w:kern w:val="0"/>
                <w:szCs w:val="21"/>
              </w:rPr>
            </w:pPr>
            <w:r>
              <w:rPr>
                <w:rFonts w:hint="eastAsia" w:ascii="宋体" w:hAnsi="宋体" w:cs="宋体"/>
                <w:kern w:val="0"/>
                <w:szCs w:val="21"/>
              </w:rPr>
              <w:t>16、风扇启动:支持风扇交错启动。</w:t>
            </w:r>
          </w:p>
          <w:p>
            <w:pPr>
              <w:widowControl/>
              <w:spacing w:line="360" w:lineRule="auto"/>
              <w:jc w:val="left"/>
              <w:rPr>
                <w:rFonts w:ascii="宋体" w:hAnsi="宋体" w:cs="宋体"/>
                <w:kern w:val="0"/>
                <w:szCs w:val="21"/>
              </w:rPr>
            </w:pPr>
            <w:r>
              <w:rPr>
                <w:rFonts w:hint="eastAsia" w:ascii="宋体" w:hAnsi="宋体" w:cs="宋体"/>
                <w:kern w:val="0"/>
                <w:szCs w:val="21"/>
              </w:rPr>
              <w:t>17、断网回传:断网情况下，前端编码设备存储视频，待网络恢复后，前端编码设备将存储视频直接回传至磁盘阵列，支持手动和自动回传两种。</w:t>
            </w:r>
          </w:p>
          <w:p>
            <w:pPr>
              <w:widowControl/>
              <w:spacing w:line="360" w:lineRule="auto"/>
              <w:jc w:val="left"/>
              <w:rPr>
                <w:rFonts w:ascii="宋体" w:hAnsi="宋体" w:cs="宋体"/>
                <w:kern w:val="0"/>
                <w:szCs w:val="21"/>
              </w:rPr>
            </w:pPr>
            <w:r>
              <w:rPr>
                <w:rFonts w:hint="eastAsia" w:ascii="宋体" w:hAnsi="宋体" w:cs="宋体"/>
                <w:kern w:val="0"/>
                <w:szCs w:val="21"/>
              </w:rPr>
              <w:t xml:space="preserve">18、数据恢复:在冗余范围内元数据丢失时，可自动进行数据恢复，并保持业务不中断。 </w:t>
            </w:r>
            <w:r>
              <w:rPr>
                <w:rFonts w:ascii="宋体" w:hAnsi="宋体" w:cs="宋体"/>
                <w:kern w:val="0"/>
                <w:szCs w:val="21"/>
              </w:rPr>
              <w:t xml:space="preserve">        </w:t>
            </w:r>
            <w:r>
              <w:rPr>
                <w:rFonts w:hint="eastAsia" w:ascii="宋体" w:hAnsi="宋体" w:cs="宋体"/>
                <w:kern w:val="0"/>
                <w:szCs w:val="21"/>
              </w:rPr>
              <w:t>19、录像丢失报警:应能进行实时流检测，丢帧15秒以上则报警。</w:t>
            </w:r>
          </w:p>
          <w:p>
            <w:pPr>
              <w:widowControl/>
              <w:spacing w:line="360" w:lineRule="auto"/>
              <w:jc w:val="left"/>
              <w:rPr>
                <w:rFonts w:ascii="宋体" w:hAnsi="宋体" w:cs="宋体"/>
                <w:kern w:val="0"/>
                <w:szCs w:val="21"/>
              </w:rPr>
            </w:pPr>
            <w:r>
              <w:rPr>
                <w:rFonts w:hint="eastAsia" w:ascii="宋体" w:hAnsi="宋体" w:cs="宋体"/>
                <w:kern w:val="0"/>
                <w:szCs w:val="21"/>
              </w:rPr>
              <w:t>20、抽帧存储:需具有对历史视频的抽帧存储，节省空间；可设置抽帧策略、抽帧时间和抽帧率。</w:t>
            </w:r>
          </w:p>
          <w:p>
            <w:pPr>
              <w:widowControl/>
              <w:spacing w:line="360" w:lineRule="auto"/>
              <w:jc w:val="left"/>
              <w:rPr>
                <w:rFonts w:ascii="宋体" w:hAnsi="宋体" w:cs="宋体"/>
                <w:kern w:val="0"/>
                <w:szCs w:val="21"/>
              </w:rPr>
            </w:pPr>
            <w:r>
              <w:rPr>
                <w:rFonts w:ascii="宋体" w:hAnsi="宋体" w:cs="宋体"/>
                <w:kern w:val="0"/>
                <w:szCs w:val="21"/>
              </w:rPr>
              <w:t>"</w:t>
            </w:r>
          </w:p>
        </w:tc>
        <w:tc>
          <w:tcPr>
            <w:tcW w:w="851"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709"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ascii="宋体" w:hAnsi="宋体" w:cs="宋体"/>
                <w:kern w:val="0"/>
                <w:szCs w:val="21"/>
              </w:rPr>
              <w:t>4</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平台管理软件</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1、用户权限管理:要求支持用户权限管理。</w:t>
            </w:r>
            <w:r>
              <w:rPr>
                <w:rFonts w:hint="eastAsia" w:ascii="宋体" w:hAnsi="宋体" w:cs="宋体"/>
                <w:kern w:val="0"/>
                <w:szCs w:val="21"/>
              </w:rPr>
              <w:br w:type="textWrapping"/>
            </w:r>
            <w:r>
              <w:rPr>
                <w:rFonts w:hint="eastAsia" w:ascii="宋体" w:hAnsi="宋体" w:cs="宋体"/>
                <w:kern w:val="0"/>
                <w:szCs w:val="21"/>
              </w:rPr>
              <w:t>2、客户端应用:系统要求支持BS、CS客户端以及IOS、Android移动端应用。</w:t>
            </w:r>
            <w:r>
              <w:rPr>
                <w:rFonts w:hint="eastAsia" w:ascii="宋体" w:hAnsi="宋体" w:cs="宋体"/>
                <w:kern w:val="0"/>
                <w:szCs w:val="21"/>
              </w:rPr>
              <w:br w:type="textWrapping"/>
            </w:r>
            <w:r>
              <w:rPr>
                <w:rFonts w:hint="eastAsia" w:ascii="宋体" w:hAnsi="宋体" w:cs="宋体"/>
                <w:kern w:val="0"/>
                <w:szCs w:val="21"/>
              </w:rPr>
              <w:t>3、校时功能:系统要求支持校时功能，支持对设备和平台服务校时，保证时间一致。</w:t>
            </w:r>
            <w:r>
              <w:rPr>
                <w:rFonts w:hint="eastAsia" w:ascii="宋体" w:hAnsi="宋体" w:cs="宋体"/>
                <w:kern w:val="0"/>
                <w:szCs w:val="21"/>
              </w:rPr>
              <w:br w:type="textWrapping"/>
            </w:r>
            <w:r>
              <w:rPr>
                <w:rFonts w:hint="eastAsia" w:ascii="宋体" w:hAnsi="宋体" w:cs="宋体"/>
                <w:kern w:val="0"/>
                <w:szCs w:val="21"/>
              </w:rPr>
              <w:t>4、AD域:要求支持AD域。（提供公安部检测机构产品检验报告复印件证明并加盖公章)</w:t>
            </w:r>
            <w:r>
              <w:rPr>
                <w:rFonts w:hint="eastAsia" w:ascii="宋体" w:hAnsi="宋体" w:cs="宋体"/>
                <w:kern w:val="0"/>
                <w:szCs w:val="21"/>
              </w:rPr>
              <w:br w:type="textWrapping"/>
            </w:r>
            <w:r>
              <w:rPr>
                <w:rFonts w:hint="eastAsia" w:ascii="宋体" w:hAnsi="宋体" w:cs="宋体"/>
                <w:kern w:val="0"/>
                <w:szCs w:val="21"/>
              </w:rPr>
              <w:t>▲5、用户数统计:要求支持根据用户使用习惯自定义配置快捷功能入口，支持首页投放大屏展示，支持最近7天每日的用户活跃数统计。（提供公安部检测机构产品检验报告复印件证明并加盖公章)</w:t>
            </w:r>
            <w:r>
              <w:rPr>
                <w:rFonts w:hint="eastAsia" w:ascii="宋体" w:hAnsi="宋体" w:cs="宋体"/>
                <w:kern w:val="0"/>
                <w:szCs w:val="21"/>
              </w:rPr>
              <w:br w:type="textWrapping"/>
            </w:r>
            <w:r>
              <w:rPr>
                <w:rFonts w:hint="eastAsia" w:ascii="宋体" w:hAnsi="宋体" w:cs="宋体"/>
                <w:kern w:val="0"/>
                <w:szCs w:val="21"/>
              </w:rPr>
              <w:t>▲6、系统分组查看:要求支持以中心管理服务为核心的网络拓扑结构，支持对系统中的分组、服务器、组件等统计概览、查看。（提供公安部检测机构产品检验报告复印件证明并加盖公章)</w:t>
            </w:r>
            <w:r>
              <w:rPr>
                <w:rFonts w:hint="eastAsia" w:ascii="宋体" w:hAnsi="宋体" w:cs="宋体"/>
                <w:kern w:val="0"/>
                <w:szCs w:val="21"/>
              </w:rPr>
              <w:br w:type="textWrapping"/>
            </w:r>
            <w:r>
              <w:rPr>
                <w:rFonts w:hint="eastAsia" w:ascii="宋体" w:hAnsi="宋体" w:cs="宋体"/>
                <w:kern w:val="0"/>
                <w:szCs w:val="21"/>
              </w:rPr>
              <w:t>▲7、数据统计:要求支持多色彩（红、橙、黄）展示运行告警状态，支持告警统计、概览、处理，支持告警记录查看、查询，支持告警单条、批量处理；支持系统最近7天每日告警数统计，支持评分量化系统监控指数，显示系统运行状态。（提供公安部检测机构产品检验报告复印件证明并加盖公章)</w:t>
            </w:r>
            <w:r>
              <w:rPr>
                <w:rFonts w:hint="eastAsia" w:ascii="宋体" w:hAnsi="宋体" w:cs="宋体"/>
                <w:kern w:val="0"/>
                <w:szCs w:val="21"/>
              </w:rPr>
              <w:br w:type="textWrapping"/>
            </w:r>
            <w:r>
              <w:rPr>
                <w:rFonts w:hint="eastAsia" w:ascii="宋体" w:hAnsi="宋体" w:cs="宋体"/>
                <w:kern w:val="0"/>
                <w:szCs w:val="21"/>
              </w:rPr>
              <w:t>▲8、运行状态显示:要求支持导航视图管理，对系统内各节点进行查看、增加、删除、修改，展示、查找；支持对系统内所有服务器进行监控，包括名称、IP地址、状态、未处理告警数、CPU使用率、内存使用率、磁盘容量、主机代理版等；支持对系统内所有组件信息进行监控，组件信息包含：组件名称、未处理告警数、所属服务器、最近操作时间、授权状态、维保期限、使用期限等。（提供公安部检测机构产品检验报告复印件证明并加盖公章)</w:t>
            </w:r>
            <w:r>
              <w:rPr>
                <w:rFonts w:hint="eastAsia" w:ascii="宋体" w:hAnsi="宋体" w:cs="宋体"/>
                <w:kern w:val="0"/>
                <w:szCs w:val="21"/>
              </w:rPr>
              <w:br w:type="textWrapping"/>
            </w:r>
            <w:r>
              <w:rPr>
                <w:rFonts w:hint="eastAsia" w:ascii="宋体" w:hAnsi="宋体" w:cs="宋体"/>
                <w:kern w:val="0"/>
                <w:szCs w:val="21"/>
              </w:rPr>
              <w:t>▲10、知识库管理:要求支持知识库搜索查询、导入、导出，支持经验分享。（提供公安部检测机构产品检验报告复印件证明并加盖公章)</w:t>
            </w:r>
            <w:r>
              <w:rPr>
                <w:rFonts w:hint="eastAsia" w:ascii="宋体" w:hAnsi="宋体" w:cs="宋体"/>
                <w:kern w:val="0"/>
                <w:szCs w:val="21"/>
              </w:rPr>
              <w:br w:type="textWrapping"/>
            </w:r>
            <w:r>
              <w:rPr>
                <w:rFonts w:hint="eastAsia" w:ascii="宋体" w:hAnsi="宋体" w:cs="宋体"/>
                <w:kern w:val="0"/>
                <w:szCs w:val="21"/>
              </w:rPr>
              <w:t>11、图像点播:要求能按照指定设备、指定通道进行图像的实时点播，支持点播图像的显示、缩放、抓拍和录像，支持多用户对同以图像资源的同时点播，宜支持基于GIS地图的图像点播。</w:t>
            </w:r>
            <w:r>
              <w:rPr>
                <w:rFonts w:hint="eastAsia" w:ascii="宋体" w:hAnsi="宋体" w:cs="宋体"/>
                <w:kern w:val="0"/>
                <w:szCs w:val="21"/>
              </w:rPr>
              <w:br w:type="textWrapping"/>
            </w:r>
            <w:r>
              <w:rPr>
                <w:rFonts w:hint="eastAsia" w:ascii="宋体" w:hAnsi="宋体" w:cs="宋体"/>
                <w:kern w:val="0"/>
                <w:szCs w:val="21"/>
              </w:rPr>
              <w:t>12、国标管理:要求系统支持国标协议上下级平台级联，支持流媒体集群配置。</w:t>
            </w:r>
            <w:r>
              <w:rPr>
                <w:rFonts w:hint="eastAsia" w:ascii="宋体" w:hAnsi="宋体" w:cs="宋体"/>
                <w:kern w:val="0"/>
                <w:szCs w:val="21"/>
              </w:rPr>
              <w:br w:type="textWrapping"/>
            </w:r>
            <w:r>
              <w:rPr>
                <w:rFonts w:hint="eastAsia" w:ascii="宋体" w:hAnsi="宋体" w:cs="宋体"/>
                <w:kern w:val="0"/>
                <w:szCs w:val="21"/>
              </w:rPr>
              <w:t>13、设备在线检查:要求支持对平台内管理的视频设备的在线状态进行检查。</w:t>
            </w:r>
            <w:r>
              <w:rPr>
                <w:rFonts w:hint="eastAsia" w:ascii="宋体" w:hAnsi="宋体" w:cs="宋体"/>
                <w:kern w:val="0"/>
                <w:szCs w:val="21"/>
              </w:rPr>
              <w:br w:type="textWrapping"/>
            </w:r>
            <w:r>
              <w:rPr>
                <w:rFonts w:hint="eastAsia" w:ascii="宋体" w:hAnsi="宋体" w:cs="宋体"/>
                <w:kern w:val="0"/>
                <w:szCs w:val="21"/>
              </w:rPr>
              <w:t>14、录像检查:要求支持对视频设备的录像完整性进行检查。</w:t>
            </w:r>
            <w:r>
              <w:rPr>
                <w:rFonts w:hint="eastAsia" w:ascii="宋体" w:hAnsi="宋体" w:cs="宋体"/>
                <w:kern w:val="0"/>
                <w:szCs w:val="21"/>
              </w:rPr>
              <w:br w:type="textWrapping"/>
            </w:r>
            <w:r>
              <w:rPr>
                <w:rFonts w:hint="eastAsia" w:ascii="宋体" w:hAnsi="宋体" w:cs="宋体"/>
                <w:kern w:val="0"/>
                <w:szCs w:val="21"/>
              </w:rPr>
              <w:t>15、画面分割显示:要求客户端支持自动在1/4/6/7/9/16/24画面分隔模式间进行监控点轮巡预览，轮巡时间可设置，支持全屏显示。</w:t>
            </w:r>
          </w:p>
        </w:tc>
        <w:tc>
          <w:tcPr>
            <w:tcW w:w="851"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150</w:t>
            </w:r>
          </w:p>
        </w:tc>
        <w:tc>
          <w:tcPr>
            <w:tcW w:w="709"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ascii="宋体" w:hAnsi="宋体" w:cs="宋体"/>
                <w:kern w:val="0"/>
                <w:szCs w:val="21"/>
              </w:rPr>
              <w:t>5</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POE交换机</w:t>
            </w:r>
          </w:p>
        </w:tc>
        <w:tc>
          <w:tcPr>
            <w:tcW w:w="4677" w:type="dxa"/>
            <w:shd w:val="clear" w:color="000000" w:fill="FFFFFF"/>
          </w:tcPr>
          <w:p>
            <w:pPr>
              <w:widowControl/>
              <w:spacing w:line="360" w:lineRule="auto"/>
              <w:jc w:val="left"/>
              <w:rPr>
                <w:rFonts w:ascii="宋体" w:hAnsi="宋体" w:cs="宋体"/>
                <w:kern w:val="0"/>
                <w:szCs w:val="21"/>
              </w:rPr>
            </w:pPr>
            <w:r>
              <w:rPr>
                <w:rFonts w:hint="eastAsia" w:ascii="宋体" w:hAnsi="宋体" w:cs="宋体"/>
                <w:kern w:val="0"/>
                <w:szCs w:val="21"/>
              </w:rPr>
              <w:t xml:space="preserve">1、端口类型：≥8个10/100/1000M以太网电接口，≥2个1000Base-X SFP光口。                2、交换容量(G)：≥192Gbps。                </w:t>
            </w:r>
            <w:r>
              <w:rPr>
                <w:rFonts w:ascii="宋体" w:hAnsi="宋体" w:cs="宋体"/>
                <w:kern w:val="0"/>
                <w:szCs w:val="21"/>
              </w:rPr>
              <w:t xml:space="preserve"> </w:t>
            </w:r>
            <w:r>
              <w:rPr>
                <w:rFonts w:hint="eastAsia" w:ascii="宋体" w:hAnsi="宋体" w:cs="宋体"/>
                <w:kern w:val="0"/>
                <w:szCs w:val="21"/>
              </w:rPr>
              <w:t>3、转发性能(Mpps)：≥15Mpps。               4、POE：支持POE+，单端口最大供电功率30W、整机最大供电功率64W。                            5、以太网功能：支持LLDP、静态MAC配置、支持MAC地址学习数目限制、支持端口镜像和流镜像功能、支持端口聚合、支持端口隔离、支STP/RSTP/MSTP、支持IEEE 802.3ad（动态链路聚合）、静态端口聚合。                                     6、VLAN：支持802.1Q (最大4K个VLAN)、支持基于MAC的VLAN、支持GUEST VLAN。                      7、DHCP：支持DHCP Relay、支持DHCP Client、支持DHCP Snooping、支持DHCP Snooping Option82。                                             8、IPv4、IPv6：支持静态路由、动态RIP，支持IPv4和IPv6双协议，支持ND、Pingv6、Telnetv6、FTPv6、TFTPv6、ICMPv6。                                  9、组播：支持IGMP V1/V2/V3 Snooping。              10、QoS：支持Diff-Serv QoS、支持WRR/HQ-WRR等队列调度机制、支持802.1p、DSCP优先级映射。11、可靠性：支持OAM、支持CFD、支持DLDP、支持RRPP、支持Smart-link、支持Monitor-link。          12、安全性：支持IP Source Guard、支持用户分级管理和口令保护、支持SSHv2，为用户登录提供安全加密通道、支持SSL，保障数据传输安全、支持可控IP地址的FTP登录和口令机制、支持防止ARP、未知组播报文、广播报文、未知单播报文、本机网段路由扫描报文、TTL=1报文、协议报文等攻击功能、支持防Dos攻击、支持MAC地址限制、支持IP＋MAC+PORT+VLAN绑定功能、支持IEEE 802.1x、支持SAVI 源地址有效性验证、支持Radius、支持HWTACACS、支持安全网管SNMPv3、支持广播报文抑制。                                           13、系统管理：支持Console/AUXModem/Telnet/SSH2.0 命令行配置</w:t>
            </w:r>
          </w:p>
          <w:p>
            <w:pPr>
              <w:widowControl/>
              <w:spacing w:line="360" w:lineRule="auto"/>
              <w:jc w:val="left"/>
              <w:rPr>
                <w:rFonts w:ascii="宋体" w:hAnsi="宋体" w:cs="宋体"/>
                <w:kern w:val="0"/>
                <w:szCs w:val="21"/>
              </w:rPr>
            </w:pPr>
            <w:r>
              <w:rPr>
                <w:rFonts w:hint="eastAsia" w:ascii="宋体" w:hAnsi="宋体" w:cs="宋体"/>
                <w:kern w:val="0"/>
                <w:szCs w:val="21"/>
              </w:rPr>
              <w:t>支持FTP、TFTP、Xmodem、SFTP文件上下载管理、支持SNMP V1/V2c/V3、支持NTP时钟、支持系统工作日志、支持集群管理。                            14、防雷特性：支持共模防护6KV，防雷4级。          15、提供工信部进网许可证复印件。</w:t>
            </w:r>
          </w:p>
        </w:tc>
        <w:tc>
          <w:tcPr>
            <w:tcW w:w="851"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28</w:t>
            </w:r>
          </w:p>
        </w:tc>
        <w:tc>
          <w:tcPr>
            <w:tcW w:w="709"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ascii="宋体" w:hAnsi="宋体" w:cs="宋体"/>
                <w:kern w:val="0"/>
                <w:szCs w:val="21"/>
              </w:rPr>
              <w:t>6</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摄像机支架</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 xml:space="preserve"> 壁装支架/白色/铝合金/尺寸≥70×97.1×173.4mm</w:t>
            </w:r>
          </w:p>
        </w:tc>
        <w:tc>
          <w:tcPr>
            <w:tcW w:w="851"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70</w:t>
            </w:r>
          </w:p>
        </w:tc>
        <w:tc>
          <w:tcPr>
            <w:tcW w:w="709"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ascii="宋体" w:hAnsi="宋体" w:cs="宋体"/>
                <w:kern w:val="0"/>
                <w:szCs w:val="21"/>
              </w:rPr>
              <w:t>7</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球机支架</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长壁装/铂晶灰/铝合金/</w:t>
            </w:r>
          </w:p>
        </w:tc>
        <w:tc>
          <w:tcPr>
            <w:tcW w:w="851"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8</w:t>
            </w:r>
          </w:p>
        </w:tc>
        <w:tc>
          <w:tcPr>
            <w:tcW w:w="709"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ascii="宋体" w:hAnsi="宋体" w:cs="宋体"/>
                <w:kern w:val="0"/>
                <w:szCs w:val="21"/>
              </w:rPr>
              <w:t>8</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显示屏</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1、产品名称：≥49寸超窄边拼接单元。            2、最大分辨率：≥1920x1080                    3、 像素间距：≥(mm)0.248(H)×0.745(V)mm                4、背光类型：LED                                    5、背光寿命：60000小时                              6、显示色彩：≥16.7M                                   7、亮度：≥500cd/㎡                                       8、对比度：≥4500:1                                    9、视角(上/下/左/右)：178°/178°                  10、双边拼缝：≤3.5mm                                11、响应时间：≤8ms                                   12、显示模式：16:9</w:t>
            </w:r>
          </w:p>
        </w:tc>
        <w:tc>
          <w:tcPr>
            <w:tcW w:w="851"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09"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块</w:t>
            </w:r>
          </w:p>
        </w:tc>
        <w:tc>
          <w:tcPr>
            <w:tcW w:w="708" w:type="dxa"/>
            <w:shd w:val="clear" w:color="000000" w:fill="FFFFFF"/>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2" w:type="dxa"/>
            <w:gridSpan w:val="6"/>
            <w:shd w:val="clear" w:color="000000" w:fill="FFFFFF"/>
            <w:noWrap/>
            <w:vAlign w:val="center"/>
          </w:tcPr>
          <w:p>
            <w:pPr>
              <w:widowControl/>
              <w:spacing w:line="360" w:lineRule="auto"/>
              <w:jc w:val="left"/>
              <w:rPr>
                <w:rFonts w:ascii="宋体" w:hAnsi="宋体" w:cs="宋体"/>
                <w:b/>
                <w:bCs/>
                <w:kern w:val="0"/>
                <w:szCs w:val="21"/>
              </w:rPr>
            </w:pPr>
            <w:r>
              <w:rPr>
                <w:rFonts w:hint="eastAsia" w:ascii="宋体" w:hAnsi="宋体" w:cs="宋体"/>
                <w:b/>
                <w:bCs/>
                <w:kern w:val="0"/>
                <w:szCs w:val="21"/>
              </w:rPr>
              <w:t>2、周界热成像（即警戒摄像）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热成像摄像机</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▲1、噪声等效温差:噪声等效温差(NETD)在25mk及以下。（提供公安部检测机构产品检验报告复印件证明并加盖公章)</w:t>
            </w:r>
            <w:r>
              <w:rPr>
                <w:rFonts w:hint="eastAsia" w:ascii="宋体" w:hAnsi="宋体" w:cs="宋体"/>
                <w:kern w:val="0"/>
                <w:szCs w:val="21"/>
              </w:rPr>
              <w:br w:type="textWrapping"/>
            </w:r>
            <w:r>
              <w:rPr>
                <w:rFonts w:hint="eastAsia" w:ascii="宋体" w:hAnsi="宋体" w:cs="宋体"/>
                <w:kern w:val="0"/>
                <w:szCs w:val="21"/>
              </w:rPr>
              <w:t>2、可见光镜头:最低可用照度，≥0.01lx（彩色）；≥0.002lx（黑白），分辨率：≥1920*1080。</w:t>
            </w:r>
            <w:r>
              <w:rPr>
                <w:rFonts w:hint="eastAsia" w:ascii="宋体" w:hAnsi="宋体" w:cs="宋体"/>
                <w:kern w:val="0"/>
                <w:szCs w:val="21"/>
              </w:rPr>
              <w:br w:type="textWrapping"/>
            </w:r>
            <w:r>
              <w:rPr>
                <w:rFonts w:hint="eastAsia" w:ascii="宋体" w:hAnsi="宋体" w:cs="宋体"/>
                <w:kern w:val="0"/>
                <w:szCs w:val="21"/>
              </w:rPr>
              <w:t>3、图像尺寸:热成像图像尺寸 ≥384 ×288。</w:t>
            </w:r>
            <w:r>
              <w:rPr>
                <w:rFonts w:hint="eastAsia" w:ascii="宋体" w:hAnsi="宋体" w:cs="宋体"/>
                <w:kern w:val="0"/>
                <w:szCs w:val="21"/>
              </w:rPr>
              <w:br w:type="textWrapping"/>
            </w:r>
            <w:r>
              <w:rPr>
                <w:rFonts w:hint="eastAsia" w:ascii="宋体" w:hAnsi="宋体" w:cs="宋体"/>
                <w:kern w:val="0"/>
                <w:szCs w:val="21"/>
              </w:rPr>
              <w:t>4、热成像焦距:焦距（镜头）：≥15mm。</w:t>
            </w:r>
            <w:r>
              <w:rPr>
                <w:rFonts w:hint="eastAsia" w:ascii="宋体" w:hAnsi="宋体" w:cs="宋体"/>
                <w:kern w:val="0"/>
                <w:szCs w:val="21"/>
              </w:rPr>
              <w:br w:type="textWrapping"/>
            </w:r>
            <w:r>
              <w:rPr>
                <w:rFonts w:hint="eastAsia" w:ascii="宋体" w:hAnsi="宋体" w:cs="宋体"/>
                <w:kern w:val="0"/>
                <w:szCs w:val="21"/>
              </w:rPr>
              <w:t>5、热成像视场角:视场角：≥24.6°x18.6°</w:t>
            </w:r>
            <w:r>
              <w:rPr>
                <w:rFonts w:hint="eastAsia" w:ascii="宋体" w:hAnsi="宋体" w:cs="宋体"/>
                <w:kern w:val="0"/>
                <w:szCs w:val="21"/>
              </w:rPr>
              <w:br w:type="textWrapping"/>
            </w:r>
            <w:r>
              <w:rPr>
                <w:rFonts w:hint="eastAsia" w:ascii="宋体" w:hAnsi="宋体" w:cs="宋体"/>
                <w:kern w:val="0"/>
                <w:szCs w:val="21"/>
              </w:rPr>
              <w:t>6、探测器类型:探测器探测类型:氧化钒非制冷模式。</w:t>
            </w:r>
            <w:r>
              <w:rPr>
                <w:rFonts w:hint="eastAsia" w:ascii="宋体" w:hAnsi="宋体" w:cs="宋体"/>
                <w:kern w:val="0"/>
                <w:szCs w:val="21"/>
              </w:rPr>
              <w:br w:type="textWrapping"/>
            </w:r>
            <w:r>
              <w:rPr>
                <w:rFonts w:hint="eastAsia" w:ascii="宋体" w:hAnsi="宋体" w:cs="宋体"/>
                <w:kern w:val="0"/>
                <w:szCs w:val="21"/>
              </w:rPr>
              <w:t>7、码流帧率:主码流及子码流帧率：支持50帧/秒。</w:t>
            </w:r>
            <w:r>
              <w:rPr>
                <w:rFonts w:hint="eastAsia" w:ascii="宋体" w:hAnsi="宋体" w:cs="宋体"/>
                <w:kern w:val="0"/>
                <w:szCs w:val="21"/>
              </w:rPr>
              <w:br w:type="textWrapping"/>
            </w:r>
            <w:r>
              <w:rPr>
                <w:rFonts w:hint="eastAsia" w:ascii="宋体" w:hAnsi="宋体" w:cs="宋体"/>
                <w:kern w:val="0"/>
                <w:szCs w:val="21"/>
              </w:rPr>
              <w:t>8、图像细节增强:支持图像细节增强功能。</w:t>
            </w:r>
            <w:r>
              <w:rPr>
                <w:rFonts w:hint="eastAsia" w:ascii="宋体" w:hAnsi="宋体" w:cs="宋体"/>
                <w:kern w:val="0"/>
                <w:szCs w:val="21"/>
              </w:rPr>
              <w:br w:type="textWrapping"/>
            </w:r>
            <w:r>
              <w:rPr>
                <w:rFonts w:hint="eastAsia" w:ascii="宋体" w:hAnsi="宋体" w:cs="宋体"/>
                <w:kern w:val="0"/>
                <w:szCs w:val="21"/>
              </w:rPr>
              <w:t>9、区域遮盖:支持区域遮盖功能。</w:t>
            </w:r>
            <w:r>
              <w:rPr>
                <w:rFonts w:hint="eastAsia" w:ascii="宋体" w:hAnsi="宋体" w:cs="宋体"/>
                <w:kern w:val="0"/>
                <w:szCs w:val="21"/>
              </w:rPr>
              <w:br w:type="textWrapping"/>
            </w:r>
            <w:r>
              <w:rPr>
                <w:rFonts w:hint="eastAsia" w:ascii="宋体" w:hAnsi="宋体" w:cs="宋体"/>
                <w:kern w:val="0"/>
                <w:szCs w:val="21"/>
              </w:rPr>
              <w:t>10、区域入侵:支持热成像视频区域入侵侦测、越界侦测、进入区域侦测、离开区域侦测功能。</w:t>
            </w:r>
            <w:r>
              <w:rPr>
                <w:rFonts w:hint="eastAsia" w:ascii="宋体" w:hAnsi="宋体" w:cs="宋体"/>
                <w:kern w:val="0"/>
                <w:szCs w:val="21"/>
              </w:rPr>
              <w:br w:type="textWrapping"/>
            </w:r>
            <w:r>
              <w:rPr>
                <w:rFonts w:hint="eastAsia" w:ascii="宋体" w:hAnsi="宋体" w:cs="宋体"/>
                <w:kern w:val="0"/>
                <w:szCs w:val="21"/>
              </w:rPr>
              <w:t>▲11、行为分析过滤:支持智能行为分析目标过滤设置，可以设置人车属性参数进行目标过滤。（提供公安部检测机构产品检验报告复印件证明并加盖公章)</w:t>
            </w:r>
            <w:r>
              <w:rPr>
                <w:rFonts w:hint="eastAsia" w:ascii="宋体" w:hAnsi="宋体" w:cs="宋体"/>
                <w:kern w:val="0"/>
                <w:szCs w:val="21"/>
              </w:rPr>
              <w:br w:type="textWrapping"/>
            </w:r>
            <w:r>
              <w:rPr>
                <w:rFonts w:hint="eastAsia" w:ascii="宋体" w:hAnsi="宋体" w:cs="宋体"/>
                <w:kern w:val="0"/>
                <w:szCs w:val="21"/>
              </w:rPr>
              <w:t>12、颜色显示:支持白热、黑热、融合、彩虹、铁红、深褐色、色彩、冰火、雨、红热及绿热、深蓝等12种显示模式。</w:t>
            </w:r>
            <w:r>
              <w:rPr>
                <w:rFonts w:hint="eastAsia" w:ascii="宋体" w:hAnsi="宋体" w:cs="宋体"/>
                <w:kern w:val="0"/>
                <w:szCs w:val="21"/>
              </w:rPr>
              <w:br w:type="textWrapping"/>
            </w:r>
            <w:r>
              <w:rPr>
                <w:rFonts w:hint="eastAsia" w:ascii="宋体" w:hAnsi="宋体" w:cs="宋体"/>
                <w:kern w:val="0"/>
                <w:szCs w:val="21"/>
              </w:rPr>
              <w:t>13、点温度:在热成像预览画面中，可通过鼠标点击画面中的任意一点，可实时显示此点的温度。</w:t>
            </w:r>
            <w:r>
              <w:rPr>
                <w:rFonts w:hint="eastAsia" w:ascii="宋体" w:hAnsi="宋体" w:cs="宋体"/>
                <w:kern w:val="0"/>
                <w:szCs w:val="21"/>
              </w:rPr>
              <w:br w:type="textWrapping"/>
            </w:r>
            <w:r>
              <w:rPr>
                <w:rFonts w:hint="eastAsia" w:ascii="宋体" w:hAnsi="宋体" w:cs="宋体"/>
                <w:kern w:val="0"/>
                <w:szCs w:val="21"/>
              </w:rPr>
              <w:t>▲14、视频叠加:支持可见光画面中叠加热成像视频图像，且热成像视频图像位置可设置。（提供公安部检测机构产品检验报告复印件证明并加盖公章)</w:t>
            </w:r>
            <w:r>
              <w:rPr>
                <w:rFonts w:hint="eastAsia" w:ascii="宋体" w:hAnsi="宋体" w:cs="宋体"/>
                <w:kern w:val="0"/>
                <w:szCs w:val="21"/>
              </w:rPr>
              <w:br w:type="textWrapping"/>
            </w:r>
            <w:r>
              <w:rPr>
                <w:rFonts w:hint="eastAsia" w:ascii="宋体" w:hAnsi="宋体" w:cs="宋体"/>
                <w:kern w:val="0"/>
                <w:szCs w:val="21"/>
              </w:rPr>
              <w:t>▲15、双通道融合:支持可见光和热成像双通道融合预览，且在画面中可显示温度信息。（提供公安部检测机构产品检验报告复印件证明并加盖公章)</w:t>
            </w:r>
            <w:r>
              <w:rPr>
                <w:rFonts w:hint="eastAsia" w:ascii="宋体" w:hAnsi="宋体" w:cs="宋体"/>
                <w:kern w:val="0"/>
                <w:szCs w:val="21"/>
              </w:rPr>
              <w:br w:type="textWrapping"/>
            </w:r>
            <w:r>
              <w:rPr>
                <w:rFonts w:hint="eastAsia" w:ascii="宋体" w:hAnsi="宋体" w:cs="宋体"/>
                <w:kern w:val="0"/>
                <w:szCs w:val="21"/>
              </w:rPr>
              <w:t>16、点线面测温:可通过浏览器在热成像视频图像中设置点、线段、区域测温规则，最多可设置10个点，10个区域及1条线段。</w:t>
            </w:r>
            <w:r>
              <w:rPr>
                <w:rFonts w:hint="eastAsia" w:ascii="宋体" w:hAnsi="宋体" w:cs="宋体"/>
                <w:kern w:val="0"/>
                <w:szCs w:val="21"/>
              </w:rPr>
              <w:br w:type="textWrapping"/>
            </w:r>
            <w:r>
              <w:rPr>
                <w:rFonts w:hint="eastAsia" w:ascii="宋体" w:hAnsi="宋体" w:cs="宋体"/>
                <w:kern w:val="0"/>
                <w:szCs w:val="21"/>
              </w:rPr>
              <w:t>17、温度显示:可在视频图像中显示设定点的探测温度；可在视频图像中显示设定线段上的最高温度和最低温度、平均温度；可在视频图像中显示设定区域的最高温度和最低温度、平均温度。</w:t>
            </w:r>
            <w:r>
              <w:rPr>
                <w:rFonts w:hint="eastAsia" w:ascii="宋体" w:hAnsi="宋体" w:cs="宋体"/>
                <w:kern w:val="0"/>
                <w:szCs w:val="21"/>
              </w:rPr>
              <w:br w:type="textWrapping"/>
            </w:r>
            <w:r>
              <w:rPr>
                <w:rFonts w:hint="eastAsia" w:ascii="宋体" w:hAnsi="宋体" w:cs="宋体"/>
                <w:kern w:val="0"/>
                <w:szCs w:val="21"/>
              </w:rPr>
              <w:t>18、数字降噪:具有数字降噪设置。</w:t>
            </w:r>
            <w:r>
              <w:rPr>
                <w:rFonts w:hint="eastAsia" w:ascii="宋体" w:hAnsi="宋体" w:cs="宋体"/>
                <w:kern w:val="0"/>
                <w:szCs w:val="21"/>
              </w:rPr>
              <w:br w:type="textWrapping"/>
            </w:r>
            <w:r>
              <w:rPr>
                <w:rFonts w:hint="eastAsia" w:ascii="宋体" w:hAnsi="宋体" w:cs="宋体"/>
                <w:kern w:val="0"/>
                <w:szCs w:val="21"/>
              </w:rPr>
              <w:t>19、工作电压:电源电压在AC24V±20%范围内变化时，能正常工作。</w:t>
            </w:r>
            <w:r>
              <w:rPr>
                <w:rFonts w:hint="eastAsia" w:ascii="宋体" w:hAnsi="宋体" w:cs="宋体"/>
                <w:kern w:val="0"/>
                <w:szCs w:val="21"/>
              </w:rPr>
              <w:br w:type="textWrapping"/>
            </w:r>
            <w:r>
              <w:rPr>
                <w:rFonts w:hint="eastAsia" w:ascii="宋体" w:hAnsi="宋体" w:cs="宋体"/>
                <w:kern w:val="0"/>
                <w:szCs w:val="21"/>
              </w:rPr>
              <w:t>20外壳防护等级:外壳防护等级：≥IP67。</w:t>
            </w:r>
            <w:r>
              <w:rPr>
                <w:rFonts w:hint="eastAsia" w:ascii="宋体" w:hAnsi="宋体" w:cs="宋体"/>
                <w:kern w:val="0"/>
                <w:szCs w:val="21"/>
              </w:rPr>
              <w:br w:type="textWrapping"/>
            </w:r>
            <w:r>
              <w:rPr>
                <w:rFonts w:hint="eastAsia" w:ascii="宋体" w:hAnsi="宋体" w:cs="宋体"/>
                <w:kern w:val="0"/>
                <w:szCs w:val="21"/>
              </w:rPr>
              <w:t>21、工作环境:设备支持在-40℃-70℃范围内正常工作。</w:t>
            </w:r>
            <w:r>
              <w:rPr>
                <w:rFonts w:hint="eastAsia" w:ascii="宋体" w:hAnsi="宋体" w:cs="宋体"/>
                <w:kern w:val="0"/>
                <w:szCs w:val="21"/>
              </w:rPr>
              <w:br w:type="textWrapping"/>
            </w:r>
            <w:r>
              <w:rPr>
                <w:rFonts w:hint="eastAsia" w:ascii="宋体" w:hAnsi="宋体" w:cs="宋体"/>
                <w:kern w:val="0"/>
                <w:szCs w:val="21"/>
              </w:rPr>
              <w:t>▲22、太阳灼伤功能:支持防太阳灼伤功能。（提供公安部检测机构产品检验报告复印件证明并加盖公章)</w:t>
            </w:r>
            <w:r>
              <w:rPr>
                <w:rFonts w:hint="eastAsia" w:ascii="宋体" w:hAnsi="宋体" w:cs="宋体"/>
                <w:kern w:val="0"/>
                <w:szCs w:val="21"/>
              </w:rPr>
              <w:br w:type="textWrapping"/>
            </w:r>
            <w:r>
              <w:rPr>
                <w:rFonts w:hint="eastAsia" w:ascii="宋体" w:hAnsi="宋体" w:cs="宋体"/>
                <w:kern w:val="0"/>
                <w:szCs w:val="21"/>
              </w:rPr>
              <w:t>23、可见光红外距离:红外照射距离达≥50m。</w:t>
            </w:r>
          </w:p>
        </w:tc>
        <w:tc>
          <w:tcPr>
            <w:tcW w:w="851"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14</w:t>
            </w:r>
          </w:p>
        </w:tc>
        <w:tc>
          <w:tcPr>
            <w:tcW w:w="709"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超脑NVR</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1、接入路数:可支持最大接入总带宽320Mbps的32路视频图像</w:t>
            </w:r>
            <w:r>
              <w:rPr>
                <w:rFonts w:hint="eastAsia" w:ascii="宋体" w:hAnsi="宋体" w:cs="宋体"/>
                <w:kern w:val="0"/>
                <w:szCs w:val="21"/>
              </w:rPr>
              <w:br w:type="textWrapping"/>
            </w:r>
            <w:r>
              <w:rPr>
                <w:rFonts w:hint="eastAsia" w:ascii="宋体" w:hAnsi="宋体" w:cs="宋体"/>
                <w:kern w:val="0"/>
                <w:szCs w:val="21"/>
              </w:rPr>
              <w:t>设备接口:支持8个SATA接口，1个eSATA接口，支持2个USB2.0，1个USB3.0接口；支持16路报警输入，8路报警输出接口。</w:t>
            </w:r>
            <w:r>
              <w:rPr>
                <w:rFonts w:hint="eastAsia" w:ascii="宋体" w:hAnsi="宋体" w:cs="宋体"/>
                <w:kern w:val="0"/>
                <w:szCs w:val="21"/>
              </w:rPr>
              <w:br w:type="textWrapping"/>
            </w:r>
            <w:r>
              <w:rPr>
                <w:rFonts w:hint="eastAsia" w:ascii="宋体" w:hAnsi="宋体" w:cs="宋体"/>
                <w:kern w:val="0"/>
                <w:szCs w:val="21"/>
              </w:rPr>
              <w:t>▲2、周界分析:支持周界报警过滤功能，对IPC上报的越界侦测报警和区域入侵报警进行去误报，可去除由树叶、灯光、车辆、阴影以及小动物引起的误报，支持设置检查目标为人体或车辆。（提供公安部检测机构产品检验报告复印件证明并加盖公章)</w:t>
            </w:r>
            <w:r>
              <w:rPr>
                <w:rFonts w:hint="eastAsia" w:ascii="宋体" w:hAnsi="宋体" w:cs="宋体"/>
                <w:kern w:val="0"/>
                <w:szCs w:val="21"/>
              </w:rPr>
              <w:br w:type="textWrapping"/>
            </w:r>
            <w:r>
              <w:rPr>
                <w:rFonts w:hint="eastAsia" w:ascii="宋体" w:hAnsi="宋体" w:cs="宋体"/>
                <w:kern w:val="0"/>
                <w:szCs w:val="21"/>
              </w:rPr>
              <w:t xml:space="preserve">3、硬盘管理:支持希捷硬盘健康功能，支持查看并显示希捷酷鹰系列硬盘温度、振动、链路稳定性健康状态信息。可查看最近7天内的硬盘状态详细信息。 </w:t>
            </w:r>
            <w:r>
              <w:rPr>
                <w:rFonts w:ascii="宋体" w:hAnsi="宋体" w:cs="宋体"/>
                <w:kern w:val="0"/>
                <w:szCs w:val="21"/>
              </w:rPr>
              <w:t xml:space="preserve">                                    </w:t>
            </w:r>
            <w:r>
              <w:rPr>
                <w:rFonts w:hint="eastAsia" w:ascii="宋体" w:hAnsi="宋体" w:cs="宋体"/>
                <w:kern w:val="0"/>
                <w:szCs w:val="21"/>
              </w:rPr>
              <w:t>▲4、数据备份:支持对重要的数据能够进行备份，备份格式MP4和AVI可选，支持实时监测并显示系统正在进行的录像备份任务，可查看剩余录像大小、剩余时间、备份进度百分比和进度条。（提供公安部检测机构产品检验报告复印件证明并加盖公章)</w:t>
            </w:r>
            <w:r>
              <w:rPr>
                <w:rFonts w:hint="eastAsia" w:ascii="宋体" w:hAnsi="宋体" w:cs="宋体"/>
                <w:kern w:val="0"/>
                <w:szCs w:val="21"/>
              </w:rPr>
              <w:br w:type="textWrapping"/>
            </w:r>
            <w:r>
              <w:rPr>
                <w:rFonts w:hint="eastAsia" w:ascii="宋体" w:hAnsi="宋体" w:cs="宋体"/>
                <w:kern w:val="0"/>
                <w:szCs w:val="21"/>
              </w:rPr>
              <w:t>▲5、报警事件:支持报警事件、异常事件实时计算提醒，并以图标形式在监控界面上提醒用户，当有新事件发生时计数自动累加，当用户查看后计数自动清零。（提供公安部检测机构产品检验报告复印件证明并加盖公章)</w:t>
            </w:r>
            <w:r>
              <w:rPr>
                <w:rFonts w:hint="eastAsia" w:ascii="宋体" w:hAnsi="宋体" w:cs="宋体"/>
                <w:kern w:val="0"/>
                <w:szCs w:val="21"/>
              </w:rPr>
              <w:br w:type="textWrapping"/>
            </w:r>
            <w:r>
              <w:rPr>
                <w:rFonts w:hint="eastAsia" w:ascii="宋体" w:hAnsi="宋体" w:cs="宋体"/>
                <w:kern w:val="0"/>
                <w:szCs w:val="21"/>
              </w:rPr>
              <w:t>▲6、一键撤防:支持报警输入触发一键撤防功能，撤防的报警类型可选（弹出报警画面、声音警告、上传中心、发送邮件、触发报警输出）。（提供公安部检测机构产品检验报告复印件证明并加盖公章)</w:t>
            </w:r>
            <w:r>
              <w:rPr>
                <w:rFonts w:hint="eastAsia" w:ascii="宋体" w:hAnsi="宋体" w:cs="宋体"/>
                <w:kern w:val="0"/>
                <w:szCs w:val="21"/>
              </w:rPr>
              <w:br w:type="textWrapping"/>
            </w:r>
            <w:r>
              <w:rPr>
                <w:rFonts w:hint="eastAsia" w:ascii="宋体" w:hAnsi="宋体" w:cs="宋体"/>
                <w:kern w:val="0"/>
                <w:szCs w:val="21"/>
              </w:rPr>
              <w:t>▲7、缩略图管理:支持缩略图,拖动回放时间进度条，在回放控制条上显示当前拖动时间点的缩略图。（提供公安部检测机构产品检验报告复印件证明并加盖公章)</w:t>
            </w:r>
            <w:r>
              <w:rPr>
                <w:rFonts w:hint="eastAsia" w:ascii="宋体" w:hAnsi="宋体" w:cs="宋体"/>
                <w:kern w:val="0"/>
                <w:szCs w:val="21"/>
              </w:rPr>
              <w:br w:type="textWrapping"/>
            </w:r>
            <w:r>
              <w:rPr>
                <w:rFonts w:hint="eastAsia" w:ascii="宋体" w:hAnsi="宋体" w:cs="宋体"/>
                <w:kern w:val="0"/>
                <w:szCs w:val="21"/>
              </w:rPr>
              <w:t>8、客户端预览:支持通过客户端/IE远程配置视频预览权限功能，可设置登录密码查看相关通道视频。</w:t>
            </w:r>
            <w:r>
              <w:rPr>
                <w:rFonts w:hint="eastAsia" w:ascii="宋体" w:hAnsi="宋体" w:cs="宋体"/>
                <w:kern w:val="0"/>
                <w:szCs w:val="21"/>
              </w:rPr>
              <w:br w:type="textWrapping"/>
            </w:r>
            <w:r>
              <w:rPr>
                <w:rFonts w:hint="eastAsia" w:ascii="宋体" w:hAnsi="宋体" w:cs="宋体"/>
                <w:kern w:val="0"/>
                <w:szCs w:val="21"/>
              </w:rPr>
              <w:t>9、字符叠加:可对视频画面叠加10行字符，每行可输入22个汉字。（以公安部检测报告为准）</w:t>
            </w:r>
            <w:r>
              <w:rPr>
                <w:rFonts w:hint="eastAsia" w:ascii="宋体" w:hAnsi="宋体" w:cs="宋体"/>
                <w:kern w:val="0"/>
                <w:szCs w:val="21"/>
              </w:rPr>
              <w:br w:type="textWrapping"/>
            </w:r>
            <w:r>
              <w:rPr>
                <w:rFonts w:hint="eastAsia" w:ascii="宋体" w:hAnsi="宋体" w:cs="宋体"/>
                <w:kern w:val="0"/>
                <w:szCs w:val="21"/>
              </w:rPr>
              <w:t>10、接入协议:支持接入ONVIF协议、RTSP协议、GB/T28181协议的设备，可一键激活并添加局域网内IPC。（以公安部检测报告为准）</w:t>
            </w:r>
            <w:r>
              <w:rPr>
                <w:rFonts w:hint="eastAsia" w:ascii="宋体" w:hAnsi="宋体" w:cs="宋体"/>
                <w:kern w:val="0"/>
                <w:szCs w:val="21"/>
              </w:rPr>
              <w:br w:type="textWrapping"/>
            </w:r>
            <w:r>
              <w:rPr>
                <w:rFonts w:hint="eastAsia" w:ascii="宋体" w:hAnsi="宋体" w:cs="宋体"/>
                <w:kern w:val="0"/>
                <w:szCs w:val="21"/>
              </w:rPr>
              <w:t>11、多屏输出:支持多屏输出，可设置2组4屏显示输出，每组包含HDMI和VGA接口各一个，同一组内为同源输出，两组之间可以异源输出视频图像。支持64/36/32/25/16/9/8/6/4/1分屏预览。（以公安部检测报告为准）</w:t>
            </w:r>
            <w:r>
              <w:rPr>
                <w:rFonts w:hint="eastAsia" w:ascii="宋体" w:hAnsi="宋体" w:cs="宋体"/>
                <w:kern w:val="0"/>
                <w:szCs w:val="21"/>
              </w:rPr>
              <w:br w:type="textWrapping"/>
            </w:r>
            <w:r>
              <w:rPr>
                <w:rFonts w:hint="eastAsia" w:ascii="宋体" w:hAnsi="宋体" w:cs="宋体"/>
                <w:kern w:val="0"/>
                <w:szCs w:val="21"/>
              </w:rPr>
              <w:t>12、回放录像: 支持1/8、1/4、1/2、1、2、4、8、16、32、64、128、256等倍速回放录像，支持录像文件剪辑和回放截图功能。（以公安部检测报告为准）</w:t>
            </w:r>
            <w:r>
              <w:rPr>
                <w:rFonts w:hint="eastAsia" w:ascii="宋体" w:hAnsi="宋体" w:cs="宋体"/>
                <w:kern w:val="0"/>
                <w:szCs w:val="21"/>
              </w:rPr>
              <w:br w:type="textWrapping"/>
            </w:r>
            <w:r>
              <w:rPr>
                <w:rFonts w:hint="eastAsia" w:ascii="宋体" w:hAnsi="宋体" w:cs="宋体"/>
                <w:kern w:val="0"/>
                <w:szCs w:val="21"/>
              </w:rPr>
              <w:t>13、移动侦测报警:支持定时、移动侦测、报警、移动侦测且报警、智能侦测和手动抓图功能，可进行32路抓拍并存储1080P格式的图片。（以公安部检测报告为准）</w:t>
            </w:r>
            <w:r>
              <w:rPr>
                <w:rFonts w:hint="eastAsia" w:ascii="宋体" w:hAnsi="宋体" w:cs="宋体"/>
                <w:kern w:val="0"/>
                <w:szCs w:val="21"/>
              </w:rPr>
              <w:br w:type="textWrapping"/>
            </w:r>
            <w:r>
              <w:rPr>
                <w:rFonts w:hint="eastAsia" w:ascii="宋体" w:hAnsi="宋体" w:cs="宋体"/>
                <w:kern w:val="0"/>
                <w:szCs w:val="21"/>
              </w:rPr>
              <w:t>1</w:t>
            </w:r>
            <w:r>
              <w:rPr>
                <w:rFonts w:ascii="宋体" w:hAnsi="宋体" w:cs="宋体"/>
                <w:kern w:val="0"/>
                <w:szCs w:val="21"/>
              </w:rPr>
              <w:t>4</w:t>
            </w:r>
            <w:r>
              <w:rPr>
                <w:rFonts w:hint="eastAsia" w:ascii="宋体" w:hAnsi="宋体" w:cs="宋体"/>
                <w:kern w:val="0"/>
                <w:szCs w:val="21"/>
              </w:rPr>
              <w:t>、录像文件加锁:支持对任一录像文件加锁、解锁，只有解锁后才可被覆盖。（以公安部检测报告为准）</w:t>
            </w:r>
            <w:r>
              <w:rPr>
                <w:rFonts w:hint="eastAsia" w:ascii="宋体" w:hAnsi="宋体" w:cs="宋体"/>
                <w:kern w:val="0"/>
                <w:szCs w:val="21"/>
              </w:rPr>
              <w:br w:type="textWrapping"/>
            </w:r>
            <w:r>
              <w:rPr>
                <w:rFonts w:hint="eastAsia" w:ascii="宋体" w:hAnsi="宋体" w:cs="宋体"/>
                <w:kern w:val="0"/>
                <w:szCs w:val="21"/>
              </w:rPr>
              <w:t>1</w:t>
            </w:r>
            <w:r>
              <w:rPr>
                <w:rFonts w:ascii="宋体" w:hAnsi="宋体" w:cs="宋体"/>
                <w:kern w:val="0"/>
                <w:szCs w:val="21"/>
              </w:rPr>
              <w:t>5</w:t>
            </w:r>
            <w:r>
              <w:rPr>
                <w:rFonts w:hint="eastAsia" w:ascii="宋体" w:hAnsi="宋体" w:cs="宋体"/>
                <w:kern w:val="0"/>
                <w:szCs w:val="21"/>
              </w:rPr>
              <w:t>、系统备份:支持系统备份功能，检测到一个系统异常时，可从另一个系统启动，并恢复异常系统。（以公安部检测报告为准）</w:t>
            </w:r>
          </w:p>
        </w:tc>
        <w:tc>
          <w:tcPr>
            <w:tcW w:w="851"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09"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摄像机支架</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长壁装/铂晶灰/铝合金/</w:t>
            </w:r>
          </w:p>
        </w:tc>
        <w:tc>
          <w:tcPr>
            <w:tcW w:w="851"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14</w:t>
            </w:r>
          </w:p>
        </w:tc>
        <w:tc>
          <w:tcPr>
            <w:tcW w:w="709"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2" w:type="dxa"/>
            <w:gridSpan w:val="6"/>
            <w:shd w:val="clear" w:color="000000" w:fill="FFFFFF"/>
            <w:noWrap/>
            <w:vAlign w:val="center"/>
          </w:tcPr>
          <w:p>
            <w:pPr>
              <w:widowControl/>
              <w:spacing w:line="360" w:lineRule="auto"/>
              <w:jc w:val="left"/>
              <w:rPr>
                <w:rFonts w:ascii="宋体" w:hAnsi="宋体" w:cs="宋体"/>
                <w:b/>
                <w:bCs/>
                <w:kern w:val="0"/>
                <w:szCs w:val="21"/>
              </w:rPr>
            </w:pPr>
            <w:r>
              <w:rPr>
                <w:rFonts w:hint="eastAsia" w:ascii="宋体" w:hAnsi="宋体" w:cs="宋体"/>
                <w:b/>
                <w:bCs/>
                <w:kern w:val="0"/>
                <w:szCs w:val="21"/>
              </w:rPr>
              <w:t>3、实施辅材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室外立杆</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 xml:space="preserve">定制室外立杆，≥3.5米高，不锈钢立杆，含基础笼等基建 </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18</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条</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室外立杆基础</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接地网小于10欧母</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18</w:t>
            </w:r>
          </w:p>
        </w:tc>
        <w:tc>
          <w:tcPr>
            <w:tcW w:w="709"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超五类双绞线</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规格：超五类双绞线</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35</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箱</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4</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配管</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1.名称:PVC电线管</w:t>
            </w:r>
            <w:r>
              <w:rPr>
                <w:rFonts w:hint="eastAsia" w:ascii="宋体" w:hAnsi="宋体" w:cs="宋体"/>
                <w:kern w:val="0"/>
                <w:szCs w:val="21"/>
              </w:rPr>
              <w:br w:type="textWrapping"/>
            </w:r>
            <w:r>
              <w:rPr>
                <w:rFonts w:hint="eastAsia" w:ascii="宋体" w:hAnsi="宋体" w:cs="宋体"/>
                <w:kern w:val="0"/>
                <w:szCs w:val="21"/>
              </w:rPr>
              <w:t>2.规格:≥DN25</w:t>
            </w:r>
            <w:r>
              <w:rPr>
                <w:rFonts w:hint="eastAsia" w:ascii="宋体" w:hAnsi="宋体" w:cs="宋体"/>
                <w:kern w:val="0"/>
                <w:szCs w:val="21"/>
              </w:rPr>
              <w:br w:type="textWrapping"/>
            </w:r>
            <w:r>
              <w:rPr>
                <w:rFonts w:hint="eastAsia" w:ascii="宋体" w:hAnsi="宋体" w:cs="宋体"/>
                <w:kern w:val="0"/>
                <w:szCs w:val="21"/>
              </w:rPr>
              <w:t>3.配置形式:明配</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2000</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米 </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5</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辅材</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PVC管配件，水晶头等</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6</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室外开挖及回填处理</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室外开挖及回填处理</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1200</w:t>
            </w:r>
          </w:p>
        </w:tc>
        <w:tc>
          <w:tcPr>
            <w:tcW w:w="709"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米 </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7</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水泥路面开挖及回填处理</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水泥路面开挖及回填处理</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800</w:t>
            </w:r>
          </w:p>
        </w:tc>
        <w:tc>
          <w:tcPr>
            <w:tcW w:w="709"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米 </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8</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市电电源线</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规格：≥RVV3*1.5</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1500</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米 </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9</w:t>
            </w:r>
          </w:p>
        </w:tc>
        <w:tc>
          <w:tcPr>
            <w:tcW w:w="1489"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安装服务费</w:t>
            </w:r>
          </w:p>
        </w:tc>
        <w:tc>
          <w:tcPr>
            <w:tcW w:w="4677" w:type="dxa"/>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监控系统安装、调试。（含监控布线、摄像头、球机、监控立杆、服务器、交换机等安装调试）</w:t>
            </w:r>
          </w:p>
        </w:tc>
        <w:tc>
          <w:tcPr>
            <w:tcW w:w="851"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09" w:type="dxa"/>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项</w:t>
            </w:r>
          </w:p>
        </w:tc>
        <w:tc>
          <w:tcPr>
            <w:tcW w:w="708" w:type="dxa"/>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　</w:t>
            </w:r>
          </w:p>
        </w:tc>
      </w:tr>
    </w:tbl>
    <w:p>
      <w:pPr>
        <w:spacing w:line="360" w:lineRule="auto"/>
        <w:ind w:left="2"/>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备注：条款及参数凡是带“</w:t>
      </w:r>
      <w:r>
        <w:rPr>
          <w:rFonts w:hint="eastAsia" w:ascii="宋体" w:hAnsi="宋体" w:cs="宋体"/>
          <w:b/>
          <w:bCs/>
          <w:color w:val="000000" w:themeColor="text1"/>
          <w:szCs w:val="21"/>
          <w14:textFill>
            <w14:solidFill>
              <w14:schemeClr w14:val="tx1"/>
            </w14:solidFill>
          </w14:textFill>
        </w:rPr>
        <w:t>▲</w:t>
      </w:r>
      <w:r>
        <w:rPr>
          <w:rFonts w:hint="eastAsia" w:ascii="宋体" w:hAnsi="宋体" w:cs="宋体"/>
          <w:b/>
          <w:color w:val="000000" w:themeColor="text1"/>
          <w:szCs w:val="21"/>
          <w14:textFill>
            <w14:solidFill>
              <w14:schemeClr w14:val="tx1"/>
            </w14:solidFill>
          </w14:textFill>
        </w:rPr>
        <w:t>”的部分为必备条件，投标人必须作出实质性响应，如有偏离将导致</w:t>
      </w:r>
      <w:r>
        <w:rPr>
          <w:rFonts w:hint="eastAsia" w:ascii="宋体" w:hAnsi="宋体" w:cs="宋体"/>
          <w:b/>
          <w:bCs/>
          <w:color w:val="000000" w:themeColor="text1"/>
          <w:szCs w:val="21"/>
          <w14:textFill>
            <w14:solidFill>
              <w14:schemeClr w14:val="tx1"/>
            </w14:solidFill>
          </w14:textFill>
        </w:rPr>
        <w:t>严重扣分</w:t>
      </w:r>
      <w:r>
        <w:rPr>
          <w:rFonts w:hint="eastAsia" w:ascii="宋体" w:hAnsi="宋体" w:cs="宋体"/>
          <w:b/>
          <w:color w:val="000000" w:themeColor="text1"/>
          <w:szCs w:val="21"/>
          <w14:textFill>
            <w14:solidFill>
              <w14:schemeClr w14:val="tx1"/>
            </w14:solidFill>
          </w14:textFill>
        </w:rPr>
        <w:t>。</w:t>
      </w:r>
      <w:bookmarkStart w:id="9" w:name="_Hlt14094356"/>
      <w:bookmarkEnd w:id="9"/>
    </w:p>
    <w:p>
      <w:pPr>
        <w:adjustRightInd w:val="0"/>
        <w:spacing w:before="156" w:beforeLines="50" w:line="360" w:lineRule="auto"/>
        <w:jc w:val="left"/>
        <w:outlineLvl w:val="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三、设备要求</w:t>
      </w:r>
    </w:p>
    <w:p>
      <w:pPr>
        <w:adjustRightInd w:val="0"/>
        <w:spacing w:line="360" w:lineRule="auto"/>
        <w:ind w:left="315" w:hanging="315" w:hangingChars="15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 货物为原制造商制造未启封的全新产品，具出厂合格证，序列号、包装箱号与出厂批号一致，并可追索查阅。整体无污染，无侵权行为、表面无划损、无任何缺陷隐患，在中国境内可依常规安全合法使用。</w:t>
      </w:r>
    </w:p>
    <w:p>
      <w:pPr>
        <w:numPr>
          <w:ilvl w:val="0"/>
          <w:numId w:val="9"/>
        </w:numPr>
        <w:adjustRightIn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交付验收标准</w:t>
      </w:r>
      <w:r>
        <w:rPr>
          <w:rFonts w:hint="eastAsia" w:ascii="宋体" w:hAnsi="宋体" w:cs="宋体"/>
          <w:color w:val="000000" w:themeColor="text1"/>
          <w:szCs w:val="21"/>
          <w:lang w:val="en-GB"/>
          <w14:textFill>
            <w14:solidFill>
              <w14:schemeClr w14:val="tx1"/>
            </w14:solidFill>
          </w14:textFill>
        </w:rPr>
        <w:t>依次序对照适用标准为：</w:t>
      </w:r>
    </w:p>
    <w:p>
      <w:pPr>
        <w:adjustRightIn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 符合中华人民共和国国家安全质量标准、环保标准或行业标准；</w:t>
      </w:r>
    </w:p>
    <w:p>
      <w:pPr>
        <w:adjustRightIn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 符合招标文件和响应承诺中采购人认可的合理最佳配置、参数及各项要求；</w:t>
      </w:r>
    </w:p>
    <w:p>
      <w:pPr>
        <w:adjustRightIn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2.3 货物来源国官方标准。</w:t>
      </w:r>
    </w:p>
    <w:p>
      <w:pPr>
        <w:numPr>
          <w:ilvl w:val="0"/>
          <w:numId w:val="9"/>
        </w:numPr>
        <w:adjustRightIn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进口产品必须具备原产地证明和商检局的检验证明及合法进货渠道证明。</w:t>
      </w:r>
    </w:p>
    <w:p>
      <w:pPr>
        <w:adjustRightInd w:val="0"/>
        <w:spacing w:line="360" w:lineRule="auto"/>
        <w:ind w:left="359" w:hanging="359" w:hangingChars="171"/>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 安装要求：中标单位负责将设备、系统安装并调试至正常运行的最佳状态。</w:t>
      </w:r>
    </w:p>
    <w:p>
      <w:pPr>
        <w:adjustRightInd w:val="0"/>
        <w:spacing w:line="360" w:lineRule="auto"/>
        <w:ind w:left="360" w:hanging="361" w:hangingChars="171"/>
        <w:jc w:val="left"/>
        <w:outlineLvl w:val="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四、售后服务要求：</w:t>
      </w:r>
    </w:p>
    <w:p>
      <w:pPr>
        <w:adjustRightInd w:val="0"/>
        <w:spacing w:line="360" w:lineRule="auto"/>
        <w:ind w:left="315" w:hanging="315" w:hangingChars="15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 本设备的质量保证期（简称“质保期”）为壹年，质保期内中标单位对所供货物实行包修、包换、包退、包维护保养，期满后可同时提供终身有偿维修保养服务。</w:t>
      </w:r>
    </w:p>
    <w:p>
      <w:pPr>
        <w:numPr>
          <w:ilvl w:val="0"/>
          <w:numId w:val="10"/>
        </w:numPr>
        <w:adjustRightIn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质保期内，如设备或零部件因非人为因素出现故障而造成短期停用时，则质保期相应顺延。如停用时间累计超过60天则质保期重新计算。</w:t>
      </w:r>
    </w:p>
    <w:p>
      <w:pPr>
        <w:numPr>
          <w:ilvl w:val="0"/>
          <w:numId w:val="10"/>
        </w:numPr>
        <w:adjustRightIn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对采购人的服务通知，中标单位在接报后即时响应，4小时内到达现场，8小时内处理完毕。若在8小时内仍未能有效解决，中标单位须免费提供同档次的设备予采购人临时使用。</w:t>
      </w:r>
    </w:p>
    <w:p>
      <w:pPr>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五、付款方式</w:t>
      </w:r>
    </w:p>
    <w:p>
      <w:pPr>
        <w:pStyle w:val="17"/>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1、签订合同后10日内甲方支付合同总金额的30%的预付款，合同设备到甲方指定地点交付并安装后，试运行1</w:t>
      </w:r>
      <w:r>
        <w:rPr>
          <w:rFonts w:ascii="宋体" w:hAnsi="宋体"/>
          <w:color w:val="000000" w:themeColor="text1"/>
          <w:sz w:val="21"/>
          <w:szCs w:val="21"/>
          <w14:textFill>
            <w14:solidFill>
              <w14:schemeClr w14:val="tx1"/>
            </w14:solidFill>
          </w14:textFill>
        </w:rPr>
        <w:t>5</w:t>
      </w:r>
      <w:r>
        <w:rPr>
          <w:rFonts w:hint="eastAsia" w:ascii="宋体" w:hAnsi="宋体"/>
          <w:color w:val="000000" w:themeColor="text1"/>
          <w:sz w:val="21"/>
          <w:szCs w:val="21"/>
          <w14:textFill>
            <w14:solidFill>
              <w14:schemeClr w14:val="tx1"/>
            </w14:solidFill>
          </w14:textFill>
        </w:rPr>
        <w:t>天内组织验收，验收合格后凭：</w:t>
      </w:r>
    </w:p>
    <w:p>
      <w:pPr>
        <w:pStyle w:val="17"/>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1)合同；</w:t>
      </w:r>
    </w:p>
    <w:p>
      <w:pPr>
        <w:pStyle w:val="17"/>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2)乙方开具的正式发票；</w:t>
      </w:r>
    </w:p>
    <w:p>
      <w:pPr>
        <w:pStyle w:val="17"/>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3)验收调试报告加盖甲方公章；</w:t>
      </w:r>
    </w:p>
    <w:p>
      <w:pPr>
        <w:pStyle w:val="17"/>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4)中标通知书；</w:t>
      </w:r>
    </w:p>
    <w:p>
      <w:pPr>
        <w:pStyle w:val="17"/>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上述资料提交后10日内采购人再付合同金额的65%；合同总价的5％作为质保金，在验收合格后一年后无息支付。乙方必须在申请验收时向甲方提供本项目的全额有效合法的发票。乙方提供发票迟延的，甲方有权延迟验收及支付款项。</w:t>
      </w:r>
    </w:p>
    <w:p>
      <w:pPr>
        <w:pStyle w:val="28"/>
        <w:ind w:firstLine="420"/>
        <w:rPr>
          <w:color w:val="000000" w:themeColor="text1"/>
          <w14:textFill>
            <w14:solidFill>
              <w14:schemeClr w14:val="tx1"/>
            </w14:solidFill>
          </w14:textFill>
        </w:rPr>
      </w:pPr>
    </w:p>
    <w:p>
      <w:pPr>
        <w:pStyle w:val="3"/>
        <w:keepNext w:val="0"/>
        <w:keepLines w:val="0"/>
        <w:pageBreakBefore/>
        <w:spacing w:before="120" w:after="120" w:line="360" w:lineRule="auto"/>
        <w:jc w:val="center"/>
        <w:rPr>
          <w:rFonts w:ascii="宋体" w:hAnsi="宋体" w:eastAsia="宋体" w:cs="宋体"/>
          <w:color w:val="000000" w:themeColor="text1"/>
          <w:spacing w:val="20"/>
          <w:sz w:val="32"/>
          <w:szCs w:val="32"/>
          <w14:textFill>
            <w14:solidFill>
              <w14:schemeClr w14:val="tx1"/>
            </w14:solidFill>
          </w14:textFill>
        </w:rPr>
      </w:pPr>
      <w:bookmarkStart w:id="10" w:name="_Toc1701"/>
      <w:r>
        <w:rPr>
          <w:rFonts w:hint="eastAsia" w:ascii="宋体" w:hAnsi="宋体" w:eastAsia="宋体" w:cs="宋体"/>
          <w:color w:val="000000" w:themeColor="text1"/>
          <w:spacing w:val="20"/>
          <w:sz w:val="32"/>
          <w:szCs w:val="32"/>
          <w14:textFill>
            <w14:solidFill>
              <w14:schemeClr w14:val="tx1"/>
            </w14:solidFill>
          </w14:textFill>
        </w:rPr>
        <w:t>第三部分 投标须知</w:t>
      </w:r>
      <w:bookmarkEnd w:id="10"/>
    </w:p>
    <w:p>
      <w:pPr>
        <w:pStyle w:val="4"/>
        <w:jc w:val="center"/>
        <w:rPr>
          <w:rFonts w:hAnsi="宋体"/>
          <w:color w:val="000000" w:themeColor="text1"/>
          <w14:textFill>
            <w14:solidFill>
              <w14:schemeClr w14:val="tx1"/>
            </w14:solidFill>
          </w14:textFill>
        </w:rPr>
      </w:pPr>
      <w:bookmarkStart w:id="11" w:name="_Toc9687"/>
      <w:r>
        <w:rPr>
          <w:rFonts w:hint="eastAsia" w:hAnsi="宋体"/>
          <w:color w:val="000000" w:themeColor="text1"/>
          <w14:textFill>
            <w14:solidFill>
              <w14:schemeClr w14:val="tx1"/>
            </w14:solidFill>
          </w14:textFill>
        </w:rPr>
        <w:t>投标须知前附表</w:t>
      </w:r>
      <w:bookmarkEnd w:id="11"/>
    </w:p>
    <w:tbl>
      <w:tblPr>
        <w:tblStyle w:val="20"/>
        <w:tblW w:w="852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9"/>
        <w:gridCol w:w="1091"/>
        <w:gridCol w:w="6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jc w:val="center"/>
        </w:trPr>
        <w:tc>
          <w:tcPr>
            <w:tcW w:w="739" w:type="dxa"/>
            <w:vAlign w:val="center"/>
          </w:tcPr>
          <w:p>
            <w:pPr>
              <w:tabs>
                <w:tab w:val="left" w:pos="2552"/>
              </w:tabs>
              <w:spacing w:line="300" w:lineRule="exact"/>
              <w:ind w:left="2"/>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1091" w:type="dxa"/>
            <w:vAlign w:val="center"/>
          </w:tcPr>
          <w:p>
            <w:pPr>
              <w:tabs>
                <w:tab w:val="left" w:pos="2552"/>
              </w:tabs>
              <w:spacing w:line="30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项目</w:t>
            </w:r>
          </w:p>
        </w:tc>
        <w:tc>
          <w:tcPr>
            <w:tcW w:w="6698" w:type="dxa"/>
            <w:vAlign w:val="center"/>
          </w:tcPr>
          <w:p>
            <w:pPr>
              <w:tabs>
                <w:tab w:val="left" w:pos="2552"/>
              </w:tabs>
              <w:spacing w:line="30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44" w:hRule="atLeast"/>
          <w:jc w:val="center"/>
        </w:trPr>
        <w:tc>
          <w:tcPr>
            <w:tcW w:w="739" w:type="dxa"/>
            <w:vAlign w:val="center"/>
          </w:tcPr>
          <w:p>
            <w:pPr>
              <w:numPr>
                <w:ilvl w:val="0"/>
                <w:numId w:val="11"/>
              </w:numPr>
              <w:tabs>
                <w:tab w:val="left" w:pos="2552"/>
              </w:tabs>
              <w:spacing w:line="300" w:lineRule="exact"/>
              <w:ind w:left="317" w:firstLine="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1091" w:type="dxa"/>
            <w:vAlign w:val="center"/>
          </w:tcPr>
          <w:p>
            <w:pPr>
              <w:tabs>
                <w:tab w:val="left" w:pos="2552"/>
              </w:tabs>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项目概况</w:t>
            </w:r>
          </w:p>
        </w:tc>
        <w:tc>
          <w:tcPr>
            <w:tcW w:w="6698" w:type="dxa"/>
            <w:vAlign w:val="center"/>
          </w:tcPr>
          <w:p>
            <w:pPr>
              <w:tabs>
                <w:tab w:val="left" w:pos="2552"/>
              </w:tabs>
              <w:spacing w:line="300" w:lineRule="exact"/>
              <w:rPr>
                <w:rFonts w:hint="eastAsia" w:ascii="宋体" w:hAnsi="宋体" w:eastAsiaTheme="minorEastAsia"/>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w:t>
            </w:r>
            <w:r>
              <w:rPr>
                <w:rFonts w:hint="eastAsia" w:ascii="宋体" w:hAnsi="宋体"/>
                <w:color w:val="000000" w:themeColor="text1"/>
                <w:szCs w:val="21"/>
                <w:lang w:eastAsia="zh-CN"/>
                <w14:textFill>
                  <w14:solidFill>
                    <w14:schemeClr w14:val="tx1"/>
                  </w14:solidFill>
                </w14:textFill>
              </w:rPr>
              <w:t>校园网络及监控、广播系统升级改造项目</w:t>
            </w:r>
          </w:p>
          <w:p>
            <w:pPr>
              <w:tabs>
                <w:tab w:val="left" w:pos="2552"/>
              </w:tabs>
              <w:spacing w:line="300" w:lineRule="exact"/>
              <w:rPr>
                <w:rFonts w:hint="eastAsia" w:ascii="宋体" w:hAnsi="宋体" w:eastAsiaTheme="minorEastAsia"/>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项目编号：</w:t>
            </w:r>
            <w:r>
              <w:rPr>
                <w:rFonts w:hint="eastAsia" w:ascii="宋体" w:hAnsi="宋体"/>
                <w:color w:val="000000" w:themeColor="text1"/>
                <w:szCs w:val="21"/>
                <w:lang w:eastAsia="zh-CN"/>
                <w14:textFill>
                  <w14:solidFill>
                    <w14:schemeClr w14:val="tx1"/>
                  </w14:solidFill>
                </w14:textFill>
              </w:rPr>
              <w:t>441900-201905-0003002072-0002</w:t>
            </w:r>
          </w:p>
          <w:p>
            <w:pPr>
              <w:tabs>
                <w:tab w:val="left" w:pos="2552"/>
              </w:tabs>
              <w:spacing w:line="300" w:lineRule="exact"/>
              <w:rPr>
                <w:rFonts w:hint="eastAsia" w:ascii="宋体" w:hAnsi="宋体" w:eastAsiaTheme="minorEastAsia"/>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采购人名称：</w:t>
            </w:r>
            <w:r>
              <w:rPr>
                <w:rFonts w:hint="eastAsia" w:ascii="宋体" w:hAnsi="宋体"/>
                <w:color w:val="000000" w:themeColor="text1"/>
                <w:szCs w:val="21"/>
                <w:lang w:eastAsia="zh-CN"/>
                <w14:textFill>
                  <w14:solidFill>
                    <w14:schemeClr w14:val="tx1"/>
                  </w14:solidFill>
                </w14:textFill>
              </w:rPr>
              <w:t>东莞市纺织服装学校</w:t>
            </w:r>
          </w:p>
          <w:p>
            <w:pPr>
              <w:tabs>
                <w:tab w:val="left" w:pos="2552"/>
              </w:tabs>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招标方式：公开招标</w:t>
            </w:r>
          </w:p>
          <w:p>
            <w:pPr>
              <w:tabs>
                <w:tab w:val="left" w:pos="2552"/>
              </w:tabs>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资金来源：财政预算</w:t>
            </w:r>
          </w:p>
          <w:p>
            <w:pPr>
              <w:tabs>
                <w:tab w:val="left" w:pos="567"/>
              </w:tabs>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项目预算金额/(最高限价）：</w:t>
            </w:r>
            <w:r>
              <w:rPr>
                <w:rFonts w:ascii="宋体" w:eastAsia="宋体"/>
                <w:color w:val="000000" w:themeColor="text1"/>
                <w:szCs w:val="21"/>
                <w:highlight w:val="none"/>
                <w14:textFill>
                  <w14:solidFill>
                    <w14:schemeClr w14:val="tx1"/>
                  </w14:solidFill>
                </w14:textFill>
              </w:rPr>
              <w:t>1</w:t>
            </w:r>
            <w:r>
              <w:rPr>
                <w:rFonts w:hint="eastAsia" w:ascii="宋体" w:eastAsia="宋体"/>
                <w:color w:val="000000" w:themeColor="text1"/>
                <w:szCs w:val="21"/>
                <w:highlight w:val="none"/>
                <w14:textFill>
                  <w14:solidFill>
                    <w14:schemeClr w14:val="tx1"/>
                  </w14:solidFill>
                </w14:textFill>
              </w:rPr>
              <w:t>,</w:t>
            </w:r>
            <w:r>
              <w:rPr>
                <w:rFonts w:ascii="宋体" w:eastAsia="宋体"/>
                <w:color w:val="000000" w:themeColor="text1"/>
                <w:szCs w:val="21"/>
                <w:highlight w:val="none"/>
                <w14:textFill>
                  <w14:solidFill>
                    <w14:schemeClr w14:val="tx1"/>
                  </w14:solidFill>
                </w14:textFill>
              </w:rPr>
              <w:t>998</w:t>
            </w:r>
            <w:r>
              <w:rPr>
                <w:rFonts w:hint="eastAsia" w:ascii="宋体" w:eastAsia="宋体"/>
                <w:color w:val="000000" w:themeColor="text1"/>
                <w:szCs w:val="21"/>
                <w:highlight w:val="none"/>
                <w14:textFill>
                  <w14:solidFill>
                    <w14:schemeClr w14:val="tx1"/>
                  </w14:solidFill>
                </w14:textFill>
              </w:rPr>
              <w:t>,</w:t>
            </w:r>
            <w:r>
              <w:rPr>
                <w:rFonts w:ascii="宋体" w:eastAsia="宋体"/>
                <w:color w:val="000000" w:themeColor="text1"/>
                <w:szCs w:val="21"/>
                <w:highlight w:val="none"/>
                <w14:textFill>
                  <w14:solidFill>
                    <w14:schemeClr w14:val="tx1"/>
                  </w14:solidFill>
                </w14:textFill>
              </w:rPr>
              <w:t>000</w:t>
            </w:r>
            <w:r>
              <w:rPr>
                <w:rFonts w:hint="eastAsia" w:ascii="宋体" w:eastAsia="宋体"/>
                <w:color w:val="000000" w:themeColor="text1"/>
                <w:szCs w:val="21"/>
                <w:highlight w:val="none"/>
                <w14:textFill>
                  <w14:solidFill>
                    <w14:schemeClr w14:val="tx1"/>
                  </w14:solidFill>
                </w14:textFill>
              </w:rPr>
              <w:t>.00</w:t>
            </w:r>
            <w:r>
              <w:rPr>
                <w:rFonts w:hint="eastAsia" w:ascii="宋体" w:hAnsi="宋体" w:cs="宋体"/>
                <w:color w:val="000000" w:themeColor="text1"/>
                <w:szCs w:val="21"/>
                <w:highlight w:val="none"/>
                <w14:textFill>
                  <w14:solidFill>
                    <w14:schemeClr w14:val="tx1"/>
                  </w14:solidFill>
                </w14:textFill>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39" w:type="dxa"/>
            <w:vAlign w:val="center"/>
          </w:tcPr>
          <w:p>
            <w:pPr>
              <w:numPr>
                <w:ilvl w:val="0"/>
                <w:numId w:val="11"/>
              </w:numPr>
              <w:tabs>
                <w:tab w:val="left" w:pos="2552"/>
              </w:tabs>
              <w:spacing w:line="300" w:lineRule="exact"/>
              <w:ind w:left="317" w:firstLine="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1091" w:type="dxa"/>
            <w:vAlign w:val="center"/>
          </w:tcPr>
          <w:p>
            <w:pPr>
              <w:tabs>
                <w:tab w:val="left" w:pos="2552"/>
              </w:tabs>
              <w:spacing w:line="300" w:lineRule="exact"/>
              <w:jc w:val="center"/>
              <w:rPr>
                <w:rFonts w:ascii="宋体" w:hAnsi="宋体"/>
                <w:color w:val="000000" w:themeColor="text1"/>
                <w:szCs w:val="21"/>
                <w14:textFill>
                  <w14:solidFill>
                    <w14:schemeClr w14:val="tx1"/>
                  </w14:solidFill>
                </w14:textFill>
              </w:rPr>
            </w:pPr>
            <w:r>
              <w:rPr>
                <w:rFonts w:hint="eastAsia" w:hAnsi="宋体"/>
                <w:bCs/>
                <w:color w:val="000000" w:themeColor="text1"/>
                <w14:textFill>
                  <w14:solidFill>
                    <w14:schemeClr w14:val="tx1"/>
                  </w14:solidFill>
                </w14:textFill>
              </w:rPr>
              <w:t>答疑会及现场考察</w:t>
            </w:r>
          </w:p>
        </w:tc>
        <w:tc>
          <w:tcPr>
            <w:tcW w:w="6698" w:type="dxa"/>
            <w:vAlign w:val="center"/>
          </w:tcPr>
          <w:p>
            <w:pPr>
              <w:pStyle w:val="11"/>
              <w:adjustRightInd w:val="0"/>
              <w:snapToGrid w:val="0"/>
              <w:spacing w:line="300" w:lineRule="exact"/>
              <w:rPr>
                <w:rFonts w:hAnsi="宋体"/>
                <w:bCs/>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本项目不举行集中答疑会</w:t>
            </w:r>
            <w:r>
              <w:rPr>
                <w:rFonts w:hint="eastAsia" w:hAnsi="宋体"/>
                <w:bCs/>
                <w:color w:val="000000" w:themeColor="text1"/>
                <w:sz w:val="21"/>
                <w14:textFill>
                  <w14:solidFill>
                    <w14:schemeClr w14:val="tx1"/>
                  </w14:solidFill>
                </w14:textFill>
              </w:rPr>
              <w:t>。</w:t>
            </w:r>
          </w:p>
          <w:p>
            <w:pPr>
              <w:pStyle w:val="11"/>
              <w:adjustRightInd w:val="0"/>
              <w:snapToGrid w:val="0"/>
              <w:spacing w:line="300" w:lineRule="exact"/>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本项目不举行</w:t>
            </w:r>
            <w:r>
              <w:rPr>
                <w:rFonts w:hint="eastAsia" w:hAnsi="宋体"/>
                <w:bCs/>
                <w:color w:val="000000" w:themeColor="text1"/>
                <w:sz w:val="21"/>
                <w14:textFill>
                  <w14:solidFill>
                    <w14:schemeClr w14:val="tx1"/>
                  </w14:solidFill>
                </w14:textFill>
              </w:rPr>
              <w:t>现场考察。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jc w:val="center"/>
        </w:trPr>
        <w:tc>
          <w:tcPr>
            <w:tcW w:w="739" w:type="dxa"/>
            <w:vAlign w:val="center"/>
          </w:tcPr>
          <w:p>
            <w:pPr>
              <w:numPr>
                <w:ilvl w:val="0"/>
                <w:numId w:val="11"/>
              </w:numPr>
              <w:tabs>
                <w:tab w:val="left" w:pos="2552"/>
              </w:tabs>
              <w:spacing w:line="300" w:lineRule="exact"/>
              <w:ind w:left="317" w:firstLine="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1091" w:type="dxa"/>
            <w:vAlign w:val="center"/>
          </w:tcPr>
          <w:p>
            <w:pPr>
              <w:tabs>
                <w:tab w:val="left" w:pos="2552"/>
              </w:tabs>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投标有效期</w:t>
            </w:r>
          </w:p>
        </w:tc>
        <w:tc>
          <w:tcPr>
            <w:tcW w:w="6698" w:type="dxa"/>
            <w:vAlign w:val="center"/>
          </w:tcPr>
          <w:p>
            <w:pPr>
              <w:tabs>
                <w:tab w:val="left" w:pos="2552"/>
              </w:tabs>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从投标截止之日起 60日内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jc w:val="center"/>
        </w:trPr>
        <w:tc>
          <w:tcPr>
            <w:tcW w:w="739" w:type="dxa"/>
            <w:vMerge w:val="restart"/>
            <w:vAlign w:val="center"/>
          </w:tcPr>
          <w:p>
            <w:pPr>
              <w:numPr>
                <w:ilvl w:val="0"/>
                <w:numId w:val="11"/>
              </w:numPr>
              <w:tabs>
                <w:tab w:val="left" w:pos="2552"/>
              </w:tabs>
              <w:spacing w:line="300" w:lineRule="exact"/>
              <w:ind w:left="317" w:firstLine="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1091" w:type="dxa"/>
            <w:vMerge w:val="restart"/>
            <w:vAlign w:val="center"/>
          </w:tcPr>
          <w:p>
            <w:pPr>
              <w:tabs>
                <w:tab w:val="left" w:pos="2552"/>
              </w:tabs>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投标保证金</w:t>
            </w:r>
          </w:p>
        </w:tc>
        <w:tc>
          <w:tcPr>
            <w:tcW w:w="6698" w:type="dxa"/>
            <w:vAlign w:val="center"/>
          </w:tcPr>
          <w:p>
            <w:pPr>
              <w:pStyle w:val="10"/>
              <w:spacing w:line="300" w:lineRule="exact"/>
              <w:jc w:val="both"/>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大写：人民币贰万元整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45" w:hRule="atLeast"/>
          <w:jc w:val="center"/>
        </w:trPr>
        <w:tc>
          <w:tcPr>
            <w:tcW w:w="739" w:type="dxa"/>
            <w:vMerge w:val="continue"/>
            <w:vAlign w:val="center"/>
          </w:tcPr>
          <w:p>
            <w:pPr>
              <w:tabs>
                <w:tab w:val="left" w:pos="2552"/>
              </w:tabs>
              <w:spacing w:line="300" w:lineRule="exact"/>
              <w:ind w:left="317"/>
              <w:jc w:val="center"/>
              <w:rPr>
                <w:rFonts w:ascii="宋体" w:hAnsi="宋体"/>
                <w:color w:val="000000" w:themeColor="text1"/>
                <w:szCs w:val="21"/>
                <w14:textFill>
                  <w14:solidFill>
                    <w14:schemeClr w14:val="tx1"/>
                  </w14:solidFill>
                </w14:textFill>
              </w:rPr>
            </w:pPr>
          </w:p>
        </w:tc>
        <w:tc>
          <w:tcPr>
            <w:tcW w:w="1091" w:type="dxa"/>
            <w:vMerge w:val="continue"/>
            <w:vAlign w:val="center"/>
          </w:tcPr>
          <w:p>
            <w:pPr>
              <w:tabs>
                <w:tab w:val="left" w:pos="2552"/>
              </w:tabs>
              <w:spacing w:line="300" w:lineRule="exact"/>
              <w:jc w:val="center"/>
              <w:rPr>
                <w:rFonts w:ascii="宋体" w:hAnsi="宋体"/>
                <w:color w:val="000000" w:themeColor="text1"/>
                <w:szCs w:val="21"/>
                <w14:textFill>
                  <w14:solidFill>
                    <w14:schemeClr w14:val="tx1"/>
                  </w14:solidFill>
                </w14:textFill>
              </w:rPr>
            </w:pPr>
          </w:p>
        </w:tc>
        <w:tc>
          <w:tcPr>
            <w:tcW w:w="6698" w:type="dxa"/>
            <w:vAlign w:val="center"/>
          </w:tcPr>
          <w:p>
            <w:pPr>
              <w:tabs>
                <w:tab w:val="left" w:pos="720"/>
              </w:tabs>
              <w:snapToGrid w:val="0"/>
              <w:spacing w:line="300" w:lineRule="exact"/>
              <w:ind w:left="4" w:leftChars="2"/>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可以以投标担保函、履约担保函、银行转账、电汇方式提交形式缴纳保证金，投标人可自主决定是否使用信用担保方式，并选择担保机构提供的任何一种信用担保品种，财政部门、采购代理机构、采购人不得进行干预。</w:t>
            </w:r>
          </w:p>
          <w:p>
            <w:pPr>
              <w:spacing w:line="300" w:lineRule="exact"/>
              <w:ind w:left="4" w:leftChars="2"/>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银行转账、电汇方式：</w:t>
            </w:r>
            <w:r>
              <w:rPr>
                <w:rFonts w:hint="eastAsia" w:ascii="宋体" w:hAnsi="宋体"/>
                <w:color w:val="000000" w:themeColor="text1"/>
                <w:szCs w:val="21"/>
                <w14:textFill>
                  <w14:solidFill>
                    <w14:schemeClr w14:val="tx1"/>
                  </w14:solidFill>
                </w14:textFill>
              </w:rPr>
              <w:t>请各投标人将投标保证金存进以下广东旭腾项目管理有限公司指定银行账户,划账时须在银行划款单用途栏上注明本次招标编号和投标人的简称：</w:t>
            </w:r>
          </w:p>
          <w:p>
            <w:pPr>
              <w:spacing w:line="300" w:lineRule="exact"/>
              <w:ind w:left="4" w:leftChars="2" w:firstLine="594" w:firstLineChars="283"/>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收款单位名称：广东旭腾项目管理有限公司</w:t>
            </w:r>
          </w:p>
          <w:p>
            <w:pPr>
              <w:spacing w:line="300" w:lineRule="exact"/>
              <w:ind w:left="4" w:leftChars="2" w:firstLine="594" w:firstLineChars="283"/>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收款单位开户银行：7699 0630 2210 588</w:t>
            </w:r>
          </w:p>
          <w:p>
            <w:pPr>
              <w:tabs>
                <w:tab w:val="left" w:pos="720"/>
              </w:tabs>
              <w:snapToGrid w:val="0"/>
              <w:spacing w:line="300" w:lineRule="exact"/>
              <w:ind w:left="4" w:leftChars="2" w:firstLine="630" w:firstLineChars="3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收款单位账户：招商银行东莞分行东城支行</w:t>
            </w:r>
          </w:p>
          <w:p>
            <w:pPr>
              <w:tabs>
                <w:tab w:val="left" w:pos="720"/>
              </w:tabs>
              <w:snapToGrid w:val="0"/>
              <w:spacing w:line="300" w:lineRule="exact"/>
              <w:ind w:left="4" w:leftChars="2"/>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投标保证金作为投标人投标的组成部分,与投标文件资料一同递交，以到达广东旭腾项目管理有限公司指定银行账户或接收到保函证明的时间为准。</w:t>
            </w:r>
          </w:p>
          <w:p>
            <w:pPr>
              <w:spacing w:line="300" w:lineRule="exact"/>
              <w:ind w:left="4" w:hanging="4" w:hangingChars="2"/>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未按要求提交投标保证金的将导致废标。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jc w:val="center"/>
        </w:trPr>
        <w:tc>
          <w:tcPr>
            <w:tcW w:w="739" w:type="dxa"/>
            <w:vMerge w:val="restart"/>
            <w:vAlign w:val="center"/>
          </w:tcPr>
          <w:p>
            <w:pPr>
              <w:numPr>
                <w:ilvl w:val="0"/>
                <w:numId w:val="11"/>
              </w:numPr>
              <w:tabs>
                <w:tab w:val="left" w:pos="2552"/>
              </w:tabs>
              <w:spacing w:line="300" w:lineRule="exact"/>
              <w:ind w:left="317" w:firstLine="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1091" w:type="dxa"/>
            <w:vMerge w:val="restart"/>
            <w:vAlign w:val="center"/>
          </w:tcPr>
          <w:p>
            <w:pPr>
              <w:tabs>
                <w:tab w:val="left" w:pos="2552"/>
              </w:tabs>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投标递交材料</w:t>
            </w:r>
          </w:p>
        </w:tc>
        <w:tc>
          <w:tcPr>
            <w:tcW w:w="6698" w:type="dxa"/>
            <w:vAlign w:val="center"/>
          </w:tcPr>
          <w:p>
            <w:pPr>
              <w:tabs>
                <w:tab w:val="left" w:pos="2552"/>
              </w:tabs>
              <w:spacing w:line="300" w:lineRule="exact"/>
              <w:rPr>
                <w:rFonts w:ascii="宋体" w:hAnsi="宋体"/>
                <w:b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唱标信封由开标一览表原件加盖投标人公章</w:t>
            </w:r>
            <w:r>
              <w:rPr>
                <w:rFonts w:hint="eastAsia" w:ascii="宋体" w:hAnsi="宋体"/>
                <w:bCs/>
                <w:color w:val="000000" w:themeColor="text1"/>
                <w:szCs w:val="2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投标保证金汇入情况说明加盖投标人公章</w:t>
            </w:r>
            <w:r>
              <w:rPr>
                <w:rFonts w:hint="eastAsia" w:ascii="宋体" w:hAnsi="宋体"/>
                <w:bCs/>
                <w:color w:val="000000" w:themeColor="text1"/>
                <w:szCs w:val="2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银行汇款凭证复印件加盖投标人公章、电子文件（CD-R光盘或优盘）、</w:t>
            </w:r>
            <w:r>
              <w:rPr>
                <w:rFonts w:hint="eastAsia" w:ascii="宋体" w:hAnsi="宋体" w:eastAsia="宋体" w:cs="宋体"/>
                <w:bCs/>
                <w:color w:val="000000" w:themeColor="text1"/>
                <w:szCs w:val="21"/>
                <w14:textFill>
                  <w14:solidFill>
                    <w14:schemeClr w14:val="tx1"/>
                  </w14:solidFill>
                </w14:textFill>
              </w:rPr>
              <w:t>其他格式（如有）</w:t>
            </w:r>
            <w:r>
              <w:rPr>
                <w:rFonts w:hint="eastAsia" w:ascii="宋体" w:hAnsi="宋体"/>
                <w:bCs/>
                <w:color w:val="000000" w:themeColor="text1"/>
                <w:szCs w:val="21"/>
                <w14:textFill>
                  <w14:solidFill>
                    <w14:schemeClr w14:val="tx1"/>
                  </w14:solidFill>
                </w14:textFill>
              </w:rPr>
              <w:t>一起封装密封，封套标明项目名称、项目编号、包组号、投标人名称及“唱标信封”等字样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jc w:val="center"/>
        </w:trPr>
        <w:tc>
          <w:tcPr>
            <w:tcW w:w="739" w:type="dxa"/>
            <w:vMerge w:val="continue"/>
            <w:vAlign w:val="center"/>
          </w:tcPr>
          <w:p>
            <w:pPr>
              <w:numPr>
                <w:ilvl w:val="0"/>
                <w:numId w:val="11"/>
              </w:numPr>
              <w:tabs>
                <w:tab w:val="left" w:pos="2552"/>
              </w:tabs>
              <w:spacing w:line="300" w:lineRule="exact"/>
              <w:ind w:left="317" w:firstLine="0"/>
              <w:jc w:val="center"/>
              <w:rPr>
                <w:rFonts w:ascii="宋体" w:hAnsi="宋体"/>
                <w:color w:val="000000" w:themeColor="text1"/>
                <w:szCs w:val="21"/>
                <w14:textFill>
                  <w14:solidFill>
                    <w14:schemeClr w14:val="tx1"/>
                  </w14:solidFill>
                </w14:textFill>
              </w:rPr>
            </w:pPr>
          </w:p>
        </w:tc>
        <w:tc>
          <w:tcPr>
            <w:tcW w:w="1091" w:type="dxa"/>
            <w:vMerge w:val="continue"/>
            <w:vAlign w:val="center"/>
          </w:tcPr>
          <w:p>
            <w:pPr>
              <w:tabs>
                <w:tab w:val="left" w:pos="2552"/>
              </w:tabs>
              <w:spacing w:line="300" w:lineRule="exact"/>
              <w:jc w:val="center"/>
              <w:rPr>
                <w:rFonts w:ascii="宋体" w:hAnsi="宋体"/>
                <w:color w:val="000000" w:themeColor="text1"/>
                <w:szCs w:val="21"/>
                <w14:textFill>
                  <w14:solidFill>
                    <w14:schemeClr w14:val="tx1"/>
                  </w14:solidFill>
                </w14:textFill>
              </w:rPr>
            </w:pPr>
          </w:p>
        </w:tc>
        <w:tc>
          <w:tcPr>
            <w:tcW w:w="6698" w:type="dxa"/>
            <w:vAlign w:val="center"/>
          </w:tcPr>
          <w:p>
            <w:pPr>
              <w:tabs>
                <w:tab w:val="left" w:pos="2552"/>
              </w:tabs>
              <w:spacing w:line="30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商务技术文件正本一份和副本五份一起密封封装，封套上标明项目名称、项目编号、包组号、投标人名称及“商务技术文件”等字样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jc w:val="center"/>
        </w:trPr>
        <w:tc>
          <w:tcPr>
            <w:tcW w:w="739" w:type="dxa"/>
            <w:vMerge w:val="continue"/>
            <w:vAlign w:val="center"/>
          </w:tcPr>
          <w:p>
            <w:pPr>
              <w:numPr>
                <w:ilvl w:val="0"/>
                <w:numId w:val="11"/>
              </w:numPr>
              <w:tabs>
                <w:tab w:val="left" w:pos="2552"/>
              </w:tabs>
              <w:spacing w:line="300" w:lineRule="exact"/>
              <w:ind w:left="317" w:firstLine="0"/>
              <w:jc w:val="center"/>
              <w:rPr>
                <w:rFonts w:ascii="宋体" w:hAnsi="宋体"/>
                <w:color w:val="000000" w:themeColor="text1"/>
                <w:szCs w:val="21"/>
                <w14:textFill>
                  <w14:solidFill>
                    <w14:schemeClr w14:val="tx1"/>
                  </w14:solidFill>
                </w14:textFill>
              </w:rPr>
            </w:pPr>
          </w:p>
        </w:tc>
        <w:tc>
          <w:tcPr>
            <w:tcW w:w="1091" w:type="dxa"/>
            <w:vMerge w:val="continue"/>
            <w:vAlign w:val="center"/>
          </w:tcPr>
          <w:p>
            <w:pPr>
              <w:tabs>
                <w:tab w:val="left" w:pos="2552"/>
              </w:tabs>
              <w:spacing w:line="300" w:lineRule="exact"/>
              <w:jc w:val="center"/>
              <w:rPr>
                <w:rFonts w:ascii="宋体" w:hAnsi="宋体"/>
                <w:color w:val="000000" w:themeColor="text1"/>
                <w:szCs w:val="21"/>
                <w14:textFill>
                  <w14:solidFill>
                    <w14:schemeClr w14:val="tx1"/>
                  </w14:solidFill>
                </w14:textFill>
              </w:rPr>
            </w:pPr>
          </w:p>
        </w:tc>
        <w:tc>
          <w:tcPr>
            <w:tcW w:w="6698" w:type="dxa"/>
            <w:vAlign w:val="center"/>
          </w:tcPr>
          <w:p>
            <w:pPr>
              <w:tabs>
                <w:tab w:val="left" w:pos="2552"/>
              </w:tabs>
              <w:spacing w:line="30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价格标文件正本一份和副本五份密封封装，封套上标明项目名称、项目编号、包组号、投标人名称及“价格文件”等字样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4" w:hRule="atLeast"/>
          <w:jc w:val="center"/>
        </w:trPr>
        <w:tc>
          <w:tcPr>
            <w:tcW w:w="739" w:type="dxa"/>
            <w:vMerge w:val="continue"/>
            <w:vAlign w:val="center"/>
          </w:tcPr>
          <w:p>
            <w:pPr>
              <w:tabs>
                <w:tab w:val="left" w:pos="2552"/>
              </w:tabs>
              <w:spacing w:line="300" w:lineRule="exact"/>
              <w:jc w:val="center"/>
              <w:rPr>
                <w:rFonts w:ascii="宋体" w:hAnsi="宋体"/>
                <w:color w:val="000000" w:themeColor="text1"/>
                <w:szCs w:val="21"/>
                <w14:textFill>
                  <w14:solidFill>
                    <w14:schemeClr w14:val="tx1"/>
                  </w14:solidFill>
                </w14:textFill>
              </w:rPr>
            </w:pPr>
          </w:p>
        </w:tc>
        <w:tc>
          <w:tcPr>
            <w:tcW w:w="1091" w:type="dxa"/>
            <w:vMerge w:val="continue"/>
            <w:vAlign w:val="center"/>
          </w:tcPr>
          <w:p>
            <w:pPr>
              <w:tabs>
                <w:tab w:val="left" w:pos="2552"/>
              </w:tabs>
              <w:spacing w:line="300" w:lineRule="exact"/>
              <w:jc w:val="center"/>
              <w:rPr>
                <w:rFonts w:ascii="宋体" w:hAnsi="宋体"/>
                <w:color w:val="000000" w:themeColor="text1"/>
                <w:szCs w:val="21"/>
                <w14:textFill>
                  <w14:solidFill>
                    <w14:schemeClr w14:val="tx1"/>
                  </w14:solidFill>
                </w14:textFill>
              </w:rPr>
            </w:pPr>
          </w:p>
        </w:tc>
        <w:tc>
          <w:tcPr>
            <w:tcW w:w="6698" w:type="dxa"/>
            <w:vAlign w:val="center"/>
          </w:tcPr>
          <w:p>
            <w:pPr>
              <w:tabs>
                <w:tab w:val="left" w:pos="2552"/>
              </w:tabs>
              <w:spacing w:line="30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注</w:t>
            </w:r>
            <w:r>
              <w:rPr>
                <w:rFonts w:hint="eastAsia" w:ascii="宋体" w:hAnsi="宋体"/>
                <w:bCs/>
                <w:color w:val="000000" w:themeColor="text1"/>
                <w:szCs w:val="21"/>
                <w14:textFill>
                  <w14:solidFill>
                    <w14:schemeClr w14:val="tx1"/>
                  </w14:solidFill>
                </w14:textFill>
              </w:rPr>
              <w:t>：无分包的项目,包组号可省略不填。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739" w:type="dxa"/>
            <w:vAlign w:val="center"/>
          </w:tcPr>
          <w:p>
            <w:pPr>
              <w:numPr>
                <w:ilvl w:val="0"/>
                <w:numId w:val="11"/>
              </w:numPr>
              <w:tabs>
                <w:tab w:val="left" w:pos="2552"/>
              </w:tabs>
              <w:spacing w:line="300" w:lineRule="exact"/>
              <w:ind w:left="317" w:firstLine="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1091" w:type="dxa"/>
            <w:vAlign w:val="center"/>
          </w:tcPr>
          <w:p>
            <w:pPr>
              <w:tabs>
                <w:tab w:val="left" w:pos="2552"/>
              </w:tabs>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 标</w:t>
            </w:r>
          </w:p>
        </w:tc>
        <w:tc>
          <w:tcPr>
            <w:tcW w:w="6698" w:type="dxa"/>
            <w:vAlign w:val="center"/>
          </w:tcPr>
          <w:p>
            <w:pPr>
              <w:tabs>
                <w:tab w:val="left" w:pos="2552"/>
              </w:tabs>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时间：2019年</w:t>
            </w:r>
            <w:r>
              <w:rPr>
                <w:rFonts w:hint="eastAsia" w:ascii="宋体" w:hAnsi="宋体"/>
                <w:color w:val="000000" w:themeColor="text1"/>
                <w:szCs w:val="21"/>
                <w:lang w:val="en-US" w:eastAsia="zh-CN"/>
                <w14:textFill>
                  <w14:solidFill>
                    <w14:schemeClr w14:val="tx1"/>
                  </w14:solidFill>
                </w14:textFill>
              </w:rPr>
              <w:t>06</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19</w:t>
            </w:r>
            <w:r>
              <w:rPr>
                <w:rFonts w:hint="eastAsia" w:ascii="宋体" w:hAnsi="宋体"/>
                <w:color w:val="000000" w:themeColor="text1"/>
                <w:szCs w:val="21"/>
                <w14:textFill>
                  <w14:solidFill>
                    <w14:schemeClr w14:val="tx1"/>
                  </w14:solidFill>
                </w14:textFill>
              </w:rPr>
              <w:t>日</w:t>
            </w:r>
            <w:r>
              <w:rPr>
                <w:rFonts w:hint="eastAsia" w:ascii="宋体" w:hAnsi="宋体"/>
                <w:color w:val="000000" w:themeColor="text1"/>
                <w:szCs w:val="21"/>
                <w:lang w:val="en-US" w:eastAsia="zh-CN"/>
                <w14:textFill>
                  <w14:solidFill>
                    <w14:schemeClr w14:val="tx1"/>
                  </w14:solidFill>
                </w14:textFill>
              </w:rPr>
              <w:t>9</w:t>
            </w:r>
            <w:r>
              <w:rPr>
                <w:rFonts w:hint="eastAsia" w:ascii="宋体" w:hAnsi="宋体"/>
                <w:color w:val="000000" w:themeColor="text1"/>
                <w:szCs w:val="21"/>
                <w14:textFill>
                  <w14:solidFill>
                    <w14:schemeClr w14:val="tx1"/>
                  </w14:solidFill>
                </w14:textFill>
              </w:rPr>
              <w:t>：30</w:t>
            </w:r>
          </w:p>
          <w:p>
            <w:pPr>
              <w:tabs>
                <w:tab w:val="left" w:pos="2552"/>
              </w:tabs>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地点：东莞市公共资源交易中心开标</w:t>
            </w:r>
            <w:r>
              <w:rPr>
                <w:rFonts w:hint="eastAsia" w:ascii="宋体" w:hAnsi="宋体"/>
                <w:color w:val="000000" w:themeColor="text1"/>
                <w:szCs w:val="21"/>
                <w:lang w:val="en-US" w:eastAsia="zh-CN"/>
                <w14:textFill>
                  <w14:solidFill>
                    <w14:schemeClr w14:val="tx1"/>
                  </w14:solidFill>
                </w14:textFill>
              </w:rPr>
              <w:t>6</w:t>
            </w:r>
            <w:r>
              <w:rPr>
                <w:rFonts w:hint="eastAsia" w:ascii="宋体" w:hAnsi="宋体"/>
                <w:color w:val="000000" w:themeColor="text1"/>
                <w:szCs w:val="21"/>
                <w14:textFill>
                  <w14:solidFill>
                    <w14:schemeClr w14:val="tx1"/>
                  </w14:solidFill>
                </w14:textFill>
              </w:rPr>
              <w:t>室（东莞市南城区西平社区宏伟三路45号）</w:t>
            </w:r>
          </w:p>
          <w:p>
            <w:pPr>
              <w:tabs>
                <w:tab w:val="left" w:pos="2552"/>
              </w:tabs>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投标人由法定代表人或其授权代表携带身份证明原件参加投标、开标仪式。</w:t>
            </w:r>
            <w:r>
              <w:rPr>
                <w:rFonts w:ascii="宋体" w:hAnsi="宋体"/>
                <w:color w:val="000000" w:themeColor="text1"/>
                <w:szCs w:val="21"/>
                <w14:textFill>
                  <w14:solidFill>
                    <w14:schemeClr w14:val="tx1"/>
                  </w14:solidFill>
                </w14:textFill>
              </w:rPr>
              <w:t>投标人未参加开标会议的，视同认可开标结果。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jc w:val="center"/>
        </w:trPr>
        <w:tc>
          <w:tcPr>
            <w:tcW w:w="739" w:type="dxa"/>
            <w:tcBorders>
              <w:bottom w:val="single" w:color="auto" w:sz="4" w:space="0"/>
            </w:tcBorders>
            <w:vAlign w:val="center"/>
          </w:tcPr>
          <w:p>
            <w:pPr>
              <w:numPr>
                <w:ilvl w:val="0"/>
                <w:numId w:val="11"/>
              </w:numPr>
              <w:tabs>
                <w:tab w:val="left" w:pos="2552"/>
              </w:tabs>
              <w:spacing w:line="300" w:lineRule="exact"/>
              <w:ind w:left="317" w:firstLine="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w:t>
            </w:r>
          </w:p>
        </w:tc>
        <w:tc>
          <w:tcPr>
            <w:tcW w:w="1091" w:type="dxa"/>
            <w:tcBorders>
              <w:bottom w:val="single" w:color="auto" w:sz="4" w:space="0"/>
            </w:tcBorders>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演示与述标</w:t>
            </w:r>
          </w:p>
        </w:tc>
        <w:tc>
          <w:tcPr>
            <w:tcW w:w="6698" w:type="dxa"/>
            <w:vAlign w:val="center"/>
          </w:tcPr>
          <w:p>
            <w:pPr>
              <w:tabs>
                <w:tab w:val="left" w:pos="720"/>
              </w:tabs>
              <w:snapToGrid w:val="0"/>
              <w:spacing w:line="300" w:lineRule="exact"/>
              <w:ind w:left="4" w:leftChars="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jc w:val="center"/>
        </w:trPr>
        <w:tc>
          <w:tcPr>
            <w:tcW w:w="739" w:type="dxa"/>
            <w:tcBorders>
              <w:top w:val="single" w:color="auto" w:sz="4" w:space="0"/>
            </w:tcBorders>
            <w:vAlign w:val="center"/>
          </w:tcPr>
          <w:p>
            <w:pPr>
              <w:numPr>
                <w:ilvl w:val="0"/>
                <w:numId w:val="11"/>
              </w:numPr>
              <w:tabs>
                <w:tab w:val="left" w:pos="2552"/>
              </w:tabs>
              <w:spacing w:line="300" w:lineRule="exact"/>
              <w:ind w:left="317" w:firstLine="0"/>
              <w:jc w:val="center"/>
              <w:rPr>
                <w:rFonts w:ascii="宋体" w:hAnsi="宋体"/>
                <w:color w:val="000000" w:themeColor="text1"/>
                <w:szCs w:val="21"/>
                <w14:textFill>
                  <w14:solidFill>
                    <w14:schemeClr w14:val="tx1"/>
                  </w14:solidFill>
                </w14:textFill>
              </w:rPr>
            </w:pPr>
          </w:p>
        </w:tc>
        <w:tc>
          <w:tcPr>
            <w:tcW w:w="1091" w:type="dxa"/>
            <w:tcBorders>
              <w:top w:val="single" w:color="auto" w:sz="4" w:space="0"/>
            </w:tcBorders>
            <w:vAlign w:val="center"/>
          </w:tcPr>
          <w:p>
            <w:pPr>
              <w:tabs>
                <w:tab w:val="left" w:pos="2552"/>
              </w:tabs>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样品</w:t>
            </w:r>
          </w:p>
        </w:tc>
        <w:tc>
          <w:tcPr>
            <w:tcW w:w="6698" w:type="dxa"/>
            <w:vAlign w:val="center"/>
          </w:tcPr>
          <w:p>
            <w:pPr>
              <w:tabs>
                <w:tab w:val="left" w:pos="2552"/>
              </w:tabs>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jc w:val="center"/>
        </w:trPr>
        <w:tc>
          <w:tcPr>
            <w:tcW w:w="739" w:type="dxa"/>
            <w:tcBorders>
              <w:top w:val="single" w:color="auto" w:sz="4" w:space="0"/>
            </w:tcBorders>
            <w:vAlign w:val="center"/>
          </w:tcPr>
          <w:p>
            <w:pPr>
              <w:numPr>
                <w:ilvl w:val="0"/>
                <w:numId w:val="11"/>
              </w:numPr>
              <w:tabs>
                <w:tab w:val="left" w:pos="2552"/>
              </w:tabs>
              <w:spacing w:line="300" w:lineRule="exact"/>
              <w:ind w:left="317" w:firstLine="0"/>
              <w:jc w:val="center"/>
              <w:rPr>
                <w:rFonts w:ascii="宋体" w:hAnsi="宋体"/>
                <w:color w:val="000000" w:themeColor="text1"/>
                <w:szCs w:val="21"/>
                <w14:textFill>
                  <w14:solidFill>
                    <w14:schemeClr w14:val="tx1"/>
                  </w14:solidFill>
                </w14:textFill>
              </w:rPr>
            </w:pPr>
          </w:p>
        </w:tc>
        <w:tc>
          <w:tcPr>
            <w:tcW w:w="1091" w:type="dxa"/>
            <w:tcBorders>
              <w:top w:val="single" w:color="auto" w:sz="4" w:space="0"/>
            </w:tcBorders>
            <w:vAlign w:val="center"/>
          </w:tcPr>
          <w:p>
            <w:pPr>
              <w:tabs>
                <w:tab w:val="left" w:pos="2552"/>
              </w:tabs>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评标委员会组成</w:t>
            </w:r>
          </w:p>
        </w:tc>
        <w:tc>
          <w:tcPr>
            <w:tcW w:w="6698" w:type="dxa"/>
            <w:vAlign w:val="center"/>
          </w:tcPr>
          <w:p>
            <w:pPr>
              <w:tabs>
                <w:tab w:val="left" w:pos="2552"/>
              </w:tabs>
              <w:spacing w:line="300" w:lineRule="exact"/>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全部评标过程由依法组建的评标委员会负责完成，评标委员会由5名成员组成。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jc w:val="center"/>
        </w:trPr>
        <w:tc>
          <w:tcPr>
            <w:tcW w:w="739" w:type="dxa"/>
            <w:vAlign w:val="center"/>
          </w:tcPr>
          <w:p>
            <w:pPr>
              <w:numPr>
                <w:ilvl w:val="0"/>
                <w:numId w:val="11"/>
              </w:numPr>
              <w:tabs>
                <w:tab w:val="left" w:pos="2552"/>
              </w:tabs>
              <w:spacing w:line="300" w:lineRule="exact"/>
              <w:ind w:left="317" w:firstLine="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w:t>
            </w:r>
          </w:p>
        </w:tc>
        <w:tc>
          <w:tcPr>
            <w:tcW w:w="1091" w:type="dxa"/>
            <w:vAlign w:val="center"/>
          </w:tcPr>
          <w:p>
            <w:pPr>
              <w:tabs>
                <w:tab w:val="left" w:pos="2552"/>
              </w:tabs>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评审方法</w:t>
            </w:r>
          </w:p>
        </w:tc>
        <w:tc>
          <w:tcPr>
            <w:tcW w:w="6698" w:type="dxa"/>
            <w:vAlign w:val="center"/>
          </w:tcPr>
          <w:p>
            <w:pPr>
              <w:autoSpaceDE w:val="0"/>
              <w:autoSpaceDN w:val="0"/>
              <w:adjustRightInd w:val="0"/>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本项目采用综合评分法。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1" w:hRule="atLeast"/>
          <w:jc w:val="center"/>
        </w:trPr>
        <w:tc>
          <w:tcPr>
            <w:tcW w:w="739" w:type="dxa"/>
            <w:vAlign w:val="center"/>
          </w:tcPr>
          <w:p>
            <w:pPr>
              <w:numPr>
                <w:ilvl w:val="0"/>
                <w:numId w:val="11"/>
              </w:numPr>
              <w:tabs>
                <w:tab w:val="left" w:pos="2552"/>
              </w:tabs>
              <w:spacing w:line="300" w:lineRule="exact"/>
              <w:ind w:left="317" w:firstLine="0"/>
              <w:jc w:val="center"/>
              <w:rPr>
                <w:rFonts w:ascii="宋体" w:hAnsi="宋体"/>
                <w:color w:val="000000" w:themeColor="text1"/>
                <w:szCs w:val="21"/>
                <w14:textFill>
                  <w14:solidFill>
                    <w14:schemeClr w14:val="tx1"/>
                  </w14:solidFill>
                </w14:textFill>
              </w:rPr>
            </w:pPr>
          </w:p>
        </w:tc>
        <w:tc>
          <w:tcPr>
            <w:tcW w:w="1091" w:type="dxa"/>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评标步骤</w:t>
            </w:r>
          </w:p>
        </w:tc>
        <w:tc>
          <w:tcPr>
            <w:tcW w:w="6698" w:type="dxa"/>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开标结束后，由采购人和采购代理机构依法对投标人的资格进行审查。评标委员会对符合资格的投标人的投标文件进行符合性审查，以确定其是否满足招标文件的实质性要求。通过资格、符合性审查的投标人即为入围投标人。评标委员会对入围投标人进行技术、商务及价格的详细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1" w:hRule="atLeast"/>
          <w:jc w:val="center"/>
        </w:trPr>
        <w:tc>
          <w:tcPr>
            <w:tcW w:w="739" w:type="dxa"/>
            <w:vMerge w:val="restart"/>
            <w:vAlign w:val="center"/>
          </w:tcPr>
          <w:p>
            <w:pPr>
              <w:numPr>
                <w:ilvl w:val="0"/>
                <w:numId w:val="11"/>
              </w:numPr>
              <w:tabs>
                <w:tab w:val="left" w:pos="2552"/>
              </w:tabs>
              <w:spacing w:line="300" w:lineRule="exact"/>
              <w:ind w:left="317" w:firstLine="0"/>
              <w:jc w:val="center"/>
              <w:rPr>
                <w:rFonts w:ascii="宋体" w:hAnsi="宋体"/>
                <w:color w:val="000000" w:themeColor="text1"/>
                <w:szCs w:val="21"/>
                <w14:textFill>
                  <w14:solidFill>
                    <w14:schemeClr w14:val="tx1"/>
                  </w14:solidFill>
                </w14:textFill>
              </w:rPr>
            </w:pPr>
          </w:p>
        </w:tc>
        <w:tc>
          <w:tcPr>
            <w:tcW w:w="1091" w:type="dxa"/>
            <w:vMerge w:val="restart"/>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中标候选人的推荐</w:t>
            </w:r>
          </w:p>
        </w:tc>
        <w:tc>
          <w:tcPr>
            <w:tcW w:w="6698" w:type="dxa"/>
            <w:vAlign w:val="center"/>
          </w:tcPr>
          <w:p>
            <w:pPr>
              <w:spacing w:line="30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评标委员会结合商务文件部分、技术文件部分和价格部分进行综合评估，将商务得分、技术得分和价格得分相加得出各入围投标人的综合得分。评标委员会编写书面的评标报告，按综合得分高低次序排出名次，并推荐综合得分排名第一的投标人为第一中标候选人，排名第二的投标人为第二中标候选人。</w:t>
            </w:r>
          </w:p>
          <w:p>
            <w:pPr>
              <w:spacing w:line="30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综合得分相同的，按下列顺序比较确定：（1）节能产品；（2）环保产品；（3）投标报价（由低到高）；（4）技术部分得分（由高到低）。</w:t>
            </w:r>
          </w:p>
          <w:p>
            <w:pPr>
              <w:spacing w:line="30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综合得分相同、投标报价和技术评分均相同的，名次由评标委员会抽签确定。法律法规有明确规定的，以法律法规规定为准。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1" w:hRule="atLeast"/>
          <w:jc w:val="center"/>
        </w:trPr>
        <w:tc>
          <w:tcPr>
            <w:tcW w:w="739" w:type="dxa"/>
            <w:vMerge w:val="continue"/>
            <w:vAlign w:val="center"/>
          </w:tcPr>
          <w:p>
            <w:pPr>
              <w:numPr>
                <w:ilvl w:val="0"/>
                <w:numId w:val="11"/>
              </w:numPr>
              <w:tabs>
                <w:tab w:val="left" w:pos="2552"/>
              </w:tabs>
              <w:spacing w:line="300" w:lineRule="exact"/>
              <w:ind w:left="317" w:firstLine="0"/>
              <w:jc w:val="center"/>
              <w:rPr>
                <w:rFonts w:ascii="宋体" w:hAnsi="宋体"/>
                <w:color w:val="000000" w:themeColor="text1"/>
                <w:szCs w:val="21"/>
                <w14:textFill>
                  <w14:solidFill>
                    <w14:schemeClr w14:val="tx1"/>
                  </w14:solidFill>
                </w14:textFill>
              </w:rPr>
            </w:pPr>
          </w:p>
        </w:tc>
        <w:tc>
          <w:tcPr>
            <w:tcW w:w="1091" w:type="dxa"/>
            <w:vMerge w:val="continue"/>
            <w:vAlign w:val="center"/>
          </w:tcPr>
          <w:p>
            <w:pPr>
              <w:spacing w:line="300" w:lineRule="exact"/>
              <w:jc w:val="center"/>
              <w:rPr>
                <w:rFonts w:ascii="宋体" w:hAnsi="宋体"/>
                <w:color w:val="000000" w:themeColor="text1"/>
                <w:szCs w:val="21"/>
                <w14:textFill>
                  <w14:solidFill>
                    <w14:schemeClr w14:val="tx1"/>
                  </w14:solidFill>
                </w14:textFill>
              </w:rPr>
            </w:pPr>
          </w:p>
        </w:tc>
        <w:tc>
          <w:tcPr>
            <w:tcW w:w="6698" w:type="dxa"/>
            <w:vAlign w:val="center"/>
          </w:tcPr>
          <w:p>
            <w:pPr>
              <w:tabs>
                <w:tab w:val="left" w:pos="0"/>
              </w:tabs>
              <w:snapToGrid w:val="0"/>
              <w:spacing w:line="300" w:lineRule="exact"/>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关于同品牌产品参加同一合同项（或同一包组）投标：</w:t>
            </w:r>
          </w:p>
          <w:p>
            <w:pPr>
              <w:spacing w:line="30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使用综合评分法的采购项目，提供相同品牌产品且通过资格审查、符合性审查的不同投标人参加同一合同项下投标的，按一家投标人计算，评审后得分最高的同品牌投标人获得中标人推荐资格；</w:t>
            </w:r>
          </w:p>
          <w:p>
            <w:pPr>
              <w:spacing w:line="30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综合</w:t>
            </w:r>
            <w:r>
              <w:rPr>
                <w:rFonts w:ascii="宋体" w:hAnsi="宋体"/>
                <w:bCs/>
                <w:color w:val="000000" w:themeColor="text1"/>
                <w:szCs w:val="21"/>
                <w14:textFill>
                  <w14:solidFill>
                    <w14:schemeClr w14:val="tx1"/>
                  </w14:solidFill>
                </w14:textFill>
              </w:rPr>
              <w:t>得分相同的，</w:t>
            </w:r>
            <w:r>
              <w:rPr>
                <w:rFonts w:hint="eastAsia" w:ascii="宋体" w:hAnsi="宋体"/>
                <w:bCs/>
                <w:color w:val="000000" w:themeColor="text1"/>
                <w:szCs w:val="21"/>
                <w14:textFill>
                  <w14:solidFill>
                    <w14:schemeClr w14:val="tx1"/>
                  </w14:solidFill>
                </w14:textFill>
              </w:rPr>
              <w:t>按下列顺序比较</w:t>
            </w:r>
            <w:r>
              <w:rPr>
                <w:rFonts w:ascii="宋体" w:hAnsi="宋体"/>
                <w:bCs/>
                <w:color w:val="000000" w:themeColor="text1"/>
                <w:szCs w:val="21"/>
                <w14:textFill>
                  <w14:solidFill>
                    <w14:schemeClr w14:val="tx1"/>
                  </w14:solidFill>
                </w14:textFill>
              </w:rPr>
              <w:t>确定一个投标人获得中标人推荐资格，其他同品牌投标人不作为中标候选人。</w:t>
            </w:r>
            <w:r>
              <w:rPr>
                <w:rFonts w:hint="eastAsia" w:ascii="宋体" w:hAnsi="宋体"/>
                <w:bCs/>
                <w:color w:val="000000" w:themeColor="text1"/>
                <w:szCs w:val="21"/>
                <w14:textFill>
                  <w14:solidFill>
                    <w14:schemeClr w14:val="tx1"/>
                  </w14:solidFill>
                </w14:textFill>
              </w:rPr>
              <w:t>（1）节能产品；（2）环保产品；（3）投标报价（由低到高）；（4）技术部分得分（由高到低）。</w:t>
            </w:r>
          </w:p>
          <w:p>
            <w:pPr>
              <w:tabs>
                <w:tab w:val="left" w:pos="0"/>
              </w:tabs>
              <w:snapToGrid w:val="0"/>
              <w:spacing w:line="30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综合得分相同、投标报价和技术评分均相同的，名次由评标委员会抽签确定。法律法规有明确规定的，以法律法规规定为准。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1" w:hRule="atLeast"/>
          <w:jc w:val="center"/>
        </w:trPr>
        <w:tc>
          <w:tcPr>
            <w:tcW w:w="739" w:type="dxa"/>
            <w:vAlign w:val="center"/>
          </w:tcPr>
          <w:p>
            <w:pPr>
              <w:numPr>
                <w:ilvl w:val="0"/>
                <w:numId w:val="11"/>
              </w:numPr>
              <w:tabs>
                <w:tab w:val="left" w:pos="2552"/>
              </w:tabs>
              <w:spacing w:line="300" w:lineRule="exact"/>
              <w:ind w:left="317" w:firstLine="0"/>
              <w:jc w:val="center"/>
              <w:rPr>
                <w:rFonts w:ascii="宋体" w:hAnsi="宋体"/>
                <w:color w:val="000000" w:themeColor="text1"/>
                <w:szCs w:val="21"/>
                <w14:textFill>
                  <w14:solidFill>
                    <w14:schemeClr w14:val="tx1"/>
                  </w14:solidFill>
                </w14:textFill>
              </w:rPr>
            </w:pPr>
          </w:p>
        </w:tc>
        <w:tc>
          <w:tcPr>
            <w:tcW w:w="1091" w:type="dxa"/>
            <w:vAlign w:val="center"/>
          </w:tcPr>
          <w:p>
            <w:pPr>
              <w:spacing w:line="300" w:lineRule="exact"/>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中标候选人原件核查</w:t>
            </w:r>
          </w:p>
        </w:tc>
        <w:tc>
          <w:tcPr>
            <w:tcW w:w="6698" w:type="dxa"/>
            <w:vAlign w:val="center"/>
          </w:tcPr>
          <w:p>
            <w:pPr>
              <w:spacing w:line="30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中标结果公示结束后3个工作日内（中</w:t>
            </w:r>
            <w:r>
              <w:rPr>
                <w:rFonts w:ascii="宋体" w:hAnsi="宋体"/>
                <w:bCs/>
                <w:color w:val="000000" w:themeColor="text1"/>
                <w:szCs w:val="21"/>
                <w14:textFill>
                  <w14:solidFill>
                    <w14:schemeClr w14:val="tx1"/>
                  </w14:solidFill>
                </w14:textFill>
              </w:rPr>
              <w:t>标人</w:t>
            </w:r>
            <w:r>
              <w:rPr>
                <w:rFonts w:hint="eastAsia" w:ascii="宋体" w:hAnsi="宋体"/>
                <w:bCs/>
                <w:color w:val="000000" w:themeColor="text1"/>
                <w:szCs w:val="21"/>
                <w14:textFill>
                  <w14:solidFill>
                    <w14:schemeClr w14:val="tx1"/>
                  </w14:solidFill>
                </w14:textFill>
              </w:rPr>
              <w:t>可</w:t>
            </w:r>
            <w:r>
              <w:rPr>
                <w:rFonts w:ascii="宋体" w:hAnsi="宋体"/>
                <w:bCs/>
                <w:color w:val="000000" w:themeColor="text1"/>
                <w:szCs w:val="21"/>
                <w14:textFill>
                  <w14:solidFill>
                    <w14:schemeClr w14:val="tx1"/>
                  </w14:solidFill>
                </w14:textFill>
              </w:rPr>
              <w:t>根据实际情况，以书面形式</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提出延长时间</w:t>
            </w:r>
            <w:r>
              <w:rPr>
                <w:rFonts w:hint="eastAsia" w:ascii="宋体" w:hAnsi="宋体"/>
                <w:bCs/>
                <w:color w:val="000000" w:themeColor="text1"/>
                <w:szCs w:val="21"/>
                <w14:textFill>
                  <w14:solidFill>
                    <w14:schemeClr w14:val="tx1"/>
                  </w14:solidFill>
                </w14:textFill>
              </w:rPr>
              <w:t>要</w:t>
            </w:r>
            <w:r>
              <w:rPr>
                <w:rFonts w:ascii="宋体" w:hAnsi="宋体"/>
                <w:bCs/>
                <w:color w:val="000000" w:themeColor="text1"/>
                <w:szCs w:val="21"/>
                <w14:textFill>
                  <w14:solidFill>
                    <w14:schemeClr w14:val="tx1"/>
                  </w14:solidFill>
                </w14:textFill>
              </w:rPr>
              <w:t>求）</w:t>
            </w:r>
            <w:r>
              <w:rPr>
                <w:rFonts w:hint="eastAsia" w:ascii="宋体" w:hAnsi="宋体"/>
                <w:bCs/>
                <w:color w:val="000000" w:themeColor="text1"/>
                <w:szCs w:val="21"/>
                <w14:textFill>
                  <w14:solidFill>
                    <w14:schemeClr w14:val="tx1"/>
                  </w14:solidFill>
                </w14:textFill>
              </w:rPr>
              <w:t>，中标单位必须提交营业执照、税务登记证、组织机构代码证、法定代表人（及其委托代理人）身份证及相关资质证明文件、业绩合同等投</w:t>
            </w:r>
            <w:r>
              <w:rPr>
                <w:rFonts w:ascii="宋体" w:hAnsi="宋体"/>
                <w:bCs/>
                <w:color w:val="000000" w:themeColor="text1"/>
                <w:szCs w:val="21"/>
                <w14:textFill>
                  <w14:solidFill>
                    <w14:schemeClr w14:val="tx1"/>
                  </w14:solidFill>
                </w14:textFill>
              </w:rPr>
              <w:t>标文件中所有</w:t>
            </w:r>
            <w:r>
              <w:rPr>
                <w:rFonts w:hint="eastAsia" w:ascii="宋体" w:hAnsi="宋体"/>
                <w:bCs/>
                <w:color w:val="000000" w:themeColor="text1"/>
                <w:szCs w:val="21"/>
                <w14:textFill>
                  <w14:solidFill>
                    <w14:schemeClr w14:val="tx1"/>
                  </w14:solidFill>
                </w14:textFill>
              </w:rPr>
              <w:t>证明文件原件到采购代理机构进行核对（如投标人授权其分支机构进行项目实施或提供售后服务的，需提供投标人与分支机构关系的法律证明材料），无</w:t>
            </w:r>
            <w:r>
              <w:rPr>
                <w:rFonts w:ascii="宋体" w:hAnsi="宋体"/>
                <w:bCs/>
                <w:color w:val="000000" w:themeColor="text1"/>
                <w:szCs w:val="21"/>
                <w14:textFill>
                  <w14:solidFill>
                    <w14:schemeClr w14:val="tx1"/>
                  </w14:solidFill>
                </w14:textFill>
              </w:rPr>
              <w:t>法提供核对或</w:t>
            </w:r>
            <w:r>
              <w:rPr>
                <w:rFonts w:hint="eastAsia" w:ascii="宋体" w:hAnsi="宋体"/>
                <w:bCs/>
                <w:color w:val="000000" w:themeColor="text1"/>
                <w:szCs w:val="21"/>
                <w14:textFill>
                  <w14:solidFill>
                    <w14:schemeClr w14:val="tx1"/>
                  </w14:solidFill>
                </w14:textFill>
              </w:rPr>
              <w:t>经核对后存</w:t>
            </w:r>
            <w:r>
              <w:rPr>
                <w:rFonts w:ascii="宋体" w:hAnsi="宋体"/>
                <w:bCs/>
                <w:color w:val="000000" w:themeColor="text1"/>
                <w:szCs w:val="21"/>
                <w14:textFill>
                  <w14:solidFill>
                    <w14:schemeClr w14:val="tx1"/>
                  </w14:solidFill>
                </w14:textFill>
              </w:rPr>
              <w:t>在造假行为的，按规定上报监督部门，取消其中标资</w:t>
            </w:r>
            <w:r>
              <w:rPr>
                <w:rFonts w:hint="eastAsia" w:ascii="宋体" w:hAnsi="宋体"/>
                <w:bCs/>
                <w:color w:val="000000" w:themeColor="text1"/>
                <w:szCs w:val="21"/>
                <w14:textFill>
                  <w14:solidFill>
                    <w14:schemeClr w14:val="tx1"/>
                  </w14:solidFill>
                </w14:textFill>
              </w:rPr>
              <w:t>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739" w:type="dxa"/>
            <w:vMerge w:val="restart"/>
            <w:vAlign w:val="center"/>
          </w:tcPr>
          <w:p>
            <w:pPr>
              <w:numPr>
                <w:ilvl w:val="0"/>
                <w:numId w:val="11"/>
              </w:numPr>
              <w:tabs>
                <w:tab w:val="left" w:pos="2552"/>
              </w:tabs>
              <w:spacing w:line="300" w:lineRule="exact"/>
              <w:ind w:left="317" w:firstLine="0"/>
              <w:jc w:val="center"/>
              <w:rPr>
                <w:rFonts w:ascii="宋体" w:hAnsi="宋体"/>
                <w:color w:val="000000" w:themeColor="text1"/>
                <w:szCs w:val="21"/>
                <w14:textFill>
                  <w14:solidFill>
                    <w14:schemeClr w14:val="tx1"/>
                  </w14:solidFill>
                </w14:textFill>
              </w:rPr>
            </w:pPr>
          </w:p>
        </w:tc>
        <w:tc>
          <w:tcPr>
            <w:tcW w:w="1091" w:type="dxa"/>
            <w:vMerge w:val="restart"/>
            <w:vAlign w:val="center"/>
          </w:tcPr>
          <w:p>
            <w:pPr>
              <w:spacing w:line="300" w:lineRule="exact"/>
              <w:jc w:val="center"/>
              <w:rPr>
                <w:rFonts w:ascii="宋体" w:hAnsi="宋体"/>
                <w:bCs/>
                <w:color w:val="000000" w:themeColor="text1"/>
                <w:szCs w:val="21"/>
                <w14:textFill>
                  <w14:solidFill>
                    <w14:schemeClr w14:val="tx1"/>
                  </w14:solidFill>
                </w14:textFill>
              </w:rPr>
            </w:pPr>
            <w:r>
              <w:rPr>
                <w:rFonts w:hint="eastAsia" w:hAnsi="宋体"/>
                <w:color w:val="000000" w:themeColor="text1"/>
                <w14:textFill>
                  <w14:solidFill>
                    <w14:schemeClr w14:val="tx1"/>
                  </w14:solidFill>
                </w14:textFill>
              </w:rPr>
              <w:t>招标代理服务费</w:t>
            </w:r>
          </w:p>
        </w:tc>
        <w:tc>
          <w:tcPr>
            <w:tcW w:w="6698" w:type="dxa"/>
            <w:vAlign w:val="center"/>
          </w:tcPr>
          <w:p>
            <w:pPr>
              <w:autoSpaceDE w:val="0"/>
              <w:autoSpaceDN w:val="0"/>
              <w:adjustRightInd w:val="0"/>
              <w:jc w:val="left"/>
              <w:rPr>
                <w:rFonts w:ascii="宋体" w:hAnsi="Times New Roman" w:cs="宋体"/>
                <w:color w:val="000000" w:themeColor="text1"/>
                <w:kern w:val="0"/>
                <w:szCs w:val="21"/>
                <w14:textFill>
                  <w14:solidFill>
                    <w14:schemeClr w14:val="tx1"/>
                  </w14:solidFill>
                </w14:textFill>
              </w:rPr>
            </w:pPr>
            <w:r>
              <w:rPr>
                <w:rFonts w:hint="eastAsia" w:ascii="宋体" w:hAnsi="Times New Roman" w:cs="宋体"/>
                <w:color w:val="000000" w:themeColor="text1"/>
                <w:kern w:val="0"/>
                <w:szCs w:val="21"/>
                <w14:textFill>
                  <w14:solidFill>
                    <w14:schemeClr w14:val="tx1"/>
                  </w14:solidFill>
                </w14:textFill>
              </w:rPr>
              <w:t>中标人须向采购代理机构按如下标准和规定缴纳招标代理服务费：</w:t>
            </w:r>
          </w:p>
          <w:p>
            <w:pPr>
              <w:autoSpaceDE w:val="0"/>
              <w:autoSpaceDN w:val="0"/>
              <w:adjustRightInd w:val="0"/>
              <w:jc w:val="left"/>
              <w:rPr>
                <w:rFonts w:ascii="宋体" w:hAnsi="Times New Roman" w:cs="宋体"/>
                <w:color w:val="000000" w:themeColor="text1"/>
                <w:kern w:val="0"/>
                <w:szCs w:val="21"/>
                <w14:textFill>
                  <w14:solidFill>
                    <w14:schemeClr w14:val="tx1"/>
                  </w14:solidFill>
                </w14:textFill>
              </w:rPr>
            </w:pPr>
            <w:r>
              <w:rPr>
                <w:rFonts w:hint="eastAsia" w:ascii="宋体" w:hAnsi="Times New Roman" w:cs="宋体"/>
                <w:color w:val="000000" w:themeColor="text1"/>
                <w:kern w:val="0"/>
                <w:szCs w:val="21"/>
                <w14:textFill>
                  <w14:solidFill>
                    <w14:schemeClr w14:val="tx1"/>
                  </w14:solidFill>
                </w14:textFill>
              </w:rPr>
              <w:t>（1）以项目中标金额作为招标代理服务费的计算基数；</w:t>
            </w:r>
          </w:p>
          <w:p>
            <w:pPr>
              <w:autoSpaceDE w:val="0"/>
              <w:autoSpaceDN w:val="0"/>
              <w:adjustRightInd w:val="0"/>
              <w:jc w:val="left"/>
              <w:rPr>
                <w:rFonts w:ascii="宋体" w:hAnsi="Times New Roman" w:cs="宋体"/>
                <w:color w:val="000000" w:themeColor="text1"/>
                <w:kern w:val="0"/>
                <w:szCs w:val="21"/>
                <w14:textFill>
                  <w14:solidFill>
                    <w14:schemeClr w14:val="tx1"/>
                  </w14:solidFill>
                </w14:textFill>
              </w:rPr>
            </w:pPr>
            <w:r>
              <w:rPr>
                <w:rFonts w:hint="eastAsia" w:ascii="宋体" w:hAnsi="Times New Roman" w:cs="宋体"/>
                <w:color w:val="000000" w:themeColor="text1"/>
                <w:kern w:val="0"/>
                <w:szCs w:val="21"/>
                <w14:textFill>
                  <w14:solidFill>
                    <w14:schemeClr w14:val="tx1"/>
                  </w14:solidFill>
                </w14:textFill>
              </w:rPr>
              <w:t>（2）招标代理服务费采用差额定率累进法进行计算，按照以下标准计取：</w:t>
            </w:r>
          </w:p>
          <w:p>
            <w:pPr>
              <w:autoSpaceDE w:val="0"/>
              <w:autoSpaceDN w:val="0"/>
              <w:adjustRightInd w:val="0"/>
              <w:jc w:val="left"/>
              <w:rPr>
                <w:rFonts w:ascii="宋体" w:hAnsi="Times New Roman" w:cs="宋体"/>
                <w:color w:val="000000" w:themeColor="text1"/>
                <w:kern w:val="0"/>
                <w:szCs w:val="21"/>
                <w14:textFill>
                  <w14:solidFill>
                    <w14:schemeClr w14:val="tx1"/>
                  </w14:solidFill>
                </w14:textFill>
              </w:rPr>
            </w:pPr>
            <w:r>
              <w:rPr>
                <w:rFonts w:hint="eastAsia" w:ascii="宋体" w:hAnsi="Times New Roman" w:cs="宋体"/>
                <w:color w:val="000000" w:themeColor="text1"/>
                <w:kern w:val="0"/>
                <w:szCs w:val="21"/>
                <w14:textFill>
                  <w14:solidFill>
                    <w14:schemeClr w14:val="tx1"/>
                  </w14:solidFill>
                </w14:textFill>
              </w:rPr>
              <w:t>100万元以下的部分，按照1.5%计取；</w:t>
            </w:r>
          </w:p>
          <w:p>
            <w:pPr>
              <w:autoSpaceDE w:val="0"/>
              <w:autoSpaceDN w:val="0"/>
              <w:adjustRightInd w:val="0"/>
              <w:jc w:val="left"/>
              <w:rPr>
                <w:rFonts w:ascii="宋体" w:hAnsi="Times New Roman" w:cs="宋体"/>
                <w:color w:val="000000" w:themeColor="text1"/>
                <w:kern w:val="0"/>
                <w:szCs w:val="21"/>
                <w14:textFill>
                  <w14:solidFill>
                    <w14:schemeClr w14:val="tx1"/>
                  </w14:solidFill>
                </w14:textFill>
              </w:rPr>
            </w:pPr>
            <w:r>
              <w:rPr>
                <w:rFonts w:hint="eastAsia" w:ascii="宋体" w:hAnsi="Times New Roman" w:cs="宋体"/>
                <w:color w:val="000000" w:themeColor="text1"/>
                <w:kern w:val="0"/>
                <w:szCs w:val="21"/>
                <w14:textFill>
                  <w14:solidFill>
                    <w14:schemeClr w14:val="tx1"/>
                  </w14:solidFill>
                </w14:textFill>
              </w:rPr>
              <w:t>100-500万元的部分，按照1.1%计取；</w:t>
            </w:r>
          </w:p>
          <w:p>
            <w:pPr>
              <w:autoSpaceDE w:val="0"/>
              <w:autoSpaceDN w:val="0"/>
              <w:adjustRightInd w:val="0"/>
              <w:jc w:val="left"/>
              <w:rPr>
                <w:rFonts w:ascii="宋体" w:hAnsi="Times New Roman" w:cs="宋体"/>
                <w:color w:val="000000" w:themeColor="text1"/>
                <w:kern w:val="0"/>
                <w:szCs w:val="21"/>
                <w14:textFill>
                  <w14:solidFill>
                    <w14:schemeClr w14:val="tx1"/>
                  </w14:solidFill>
                </w14:textFill>
              </w:rPr>
            </w:pPr>
            <w:r>
              <w:rPr>
                <w:rFonts w:hint="eastAsia" w:ascii="宋体" w:hAnsi="Times New Roman" w:cs="宋体"/>
                <w:color w:val="000000" w:themeColor="text1"/>
                <w:kern w:val="0"/>
                <w:szCs w:val="21"/>
                <w14:textFill>
                  <w14:solidFill>
                    <w14:schemeClr w14:val="tx1"/>
                  </w14:solidFill>
                </w14:textFill>
              </w:rPr>
              <w:t>500-1000万元的部分，按照0.8%计取；</w:t>
            </w:r>
          </w:p>
          <w:p>
            <w:pPr>
              <w:autoSpaceDE w:val="0"/>
              <w:autoSpaceDN w:val="0"/>
              <w:adjustRightInd w:val="0"/>
              <w:jc w:val="left"/>
              <w:rPr>
                <w:rFonts w:hAnsi="宋体"/>
                <w:color w:val="000000" w:themeColor="text1"/>
                <w:szCs w:val="21"/>
                <w14:textFill>
                  <w14:solidFill>
                    <w14:schemeClr w14:val="tx1"/>
                  </w14:solidFill>
                </w14:textFill>
              </w:rPr>
            </w:pPr>
            <w:r>
              <w:rPr>
                <w:rFonts w:hint="eastAsia" w:ascii="宋体" w:hAnsi="Times New Roman" w:cs="宋体"/>
                <w:color w:val="000000" w:themeColor="text1"/>
                <w:kern w:val="0"/>
                <w:szCs w:val="21"/>
                <w14:textFill>
                  <w14:solidFill>
                    <w14:schemeClr w14:val="tx1"/>
                  </w14:solidFill>
                </w14:textFill>
              </w:rPr>
              <w:t>1000-5000万元的部分，按照0.5%计取。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jc w:val="center"/>
        </w:trPr>
        <w:tc>
          <w:tcPr>
            <w:tcW w:w="739" w:type="dxa"/>
            <w:vMerge w:val="continue"/>
            <w:vAlign w:val="center"/>
          </w:tcPr>
          <w:p>
            <w:pPr>
              <w:numPr>
                <w:ilvl w:val="0"/>
                <w:numId w:val="11"/>
              </w:numPr>
              <w:tabs>
                <w:tab w:val="left" w:pos="2552"/>
              </w:tabs>
              <w:spacing w:line="300" w:lineRule="exact"/>
              <w:ind w:left="317" w:firstLine="0"/>
              <w:jc w:val="center"/>
              <w:rPr>
                <w:rFonts w:ascii="宋体" w:hAnsi="宋体"/>
                <w:color w:val="000000" w:themeColor="text1"/>
                <w:szCs w:val="21"/>
                <w14:textFill>
                  <w14:solidFill>
                    <w14:schemeClr w14:val="tx1"/>
                  </w14:solidFill>
                </w14:textFill>
              </w:rPr>
            </w:pPr>
          </w:p>
        </w:tc>
        <w:tc>
          <w:tcPr>
            <w:tcW w:w="1091" w:type="dxa"/>
            <w:vMerge w:val="continue"/>
            <w:vAlign w:val="center"/>
          </w:tcPr>
          <w:p>
            <w:pPr>
              <w:spacing w:line="300" w:lineRule="exact"/>
              <w:jc w:val="center"/>
              <w:rPr>
                <w:rFonts w:ascii="宋体" w:hAnsi="宋体"/>
                <w:bCs/>
                <w:color w:val="000000" w:themeColor="text1"/>
                <w:szCs w:val="21"/>
                <w14:textFill>
                  <w14:solidFill>
                    <w14:schemeClr w14:val="tx1"/>
                  </w14:solidFill>
                </w14:textFill>
              </w:rPr>
            </w:pPr>
          </w:p>
        </w:tc>
        <w:tc>
          <w:tcPr>
            <w:tcW w:w="6698" w:type="dxa"/>
            <w:vAlign w:val="center"/>
          </w:tcPr>
          <w:p>
            <w:pPr>
              <w:tabs>
                <w:tab w:val="left" w:pos="0"/>
              </w:tabs>
              <w:snapToGrid w:val="0"/>
              <w:spacing w:line="30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中标人应在《付款通知书》发出之日起五个工作日内将招标代理服务费存入指定账户，凭已盖银行收款章的进账单、中标单位开具的证明及身份证明原件到采购代理机构领取《中标通知书》。</w:t>
            </w:r>
          </w:p>
          <w:p>
            <w:pPr>
              <w:spacing w:line="300" w:lineRule="exact"/>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服务费以转账或现金的形式支付，银行账号另行通知。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jc w:val="center"/>
        </w:trPr>
        <w:tc>
          <w:tcPr>
            <w:tcW w:w="739" w:type="dxa"/>
            <w:vAlign w:val="center"/>
          </w:tcPr>
          <w:p>
            <w:pPr>
              <w:numPr>
                <w:ilvl w:val="0"/>
                <w:numId w:val="11"/>
              </w:numPr>
              <w:tabs>
                <w:tab w:val="left" w:pos="2552"/>
              </w:tabs>
              <w:spacing w:line="300" w:lineRule="exact"/>
              <w:ind w:left="317" w:firstLine="0"/>
              <w:jc w:val="center"/>
              <w:rPr>
                <w:rFonts w:ascii="宋体" w:hAnsi="宋体"/>
                <w:color w:val="000000" w:themeColor="text1"/>
                <w:szCs w:val="21"/>
                <w14:textFill>
                  <w14:solidFill>
                    <w14:schemeClr w14:val="tx1"/>
                  </w14:solidFill>
                </w14:textFill>
              </w:rPr>
            </w:pPr>
          </w:p>
        </w:tc>
        <w:tc>
          <w:tcPr>
            <w:tcW w:w="1091" w:type="dxa"/>
            <w:vAlign w:val="center"/>
          </w:tcPr>
          <w:p>
            <w:pPr>
              <w:spacing w:line="300" w:lineRule="exact"/>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履约保证金</w:t>
            </w:r>
          </w:p>
        </w:tc>
        <w:tc>
          <w:tcPr>
            <w:tcW w:w="6698" w:type="dxa"/>
            <w:vAlign w:val="center"/>
          </w:tcPr>
          <w:p>
            <w:pPr>
              <w:tabs>
                <w:tab w:val="left" w:pos="0"/>
              </w:tabs>
              <w:snapToGrid w:val="0"/>
              <w:spacing w:line="300" w:lineRule="exact"/>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中标金额的5%。</w:t>
            </w:r>
          </w:p>
          <w:p>
            <w:pPr>
              <w:tabs>
                <w:tab w:val="left" w:pos="0"/>
              </w:tabs>
              <w:snapToGrid w:val="0"/>
              <w:spacing w:line="30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中标人在收到采购代理机构的《中标通知书》后30日内，应按以上规定的金额，采用履约保证金保函或采购人可以接受的其他形式向采购人提交履约保证金。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jc w:val="center"/>
        </w:trPr>
        <w:tc>
          <w:tcPr>
            <w:tcW w:w="739" w:type="dxa"/>
            <w:vAlign w:val="center"/>
          </w:tcPr>
          <w:p>
            <w:pPr>
              <w:numPr>
                <w:ilvl w:val="0"/>
                <w:numId w:val="11"/>
              </w:numPr>
              <w:tabs>
                <w:tab w:val="left" w:pos="2552"/>
              </w:tabs>
              <w:spacing w:line="300" w:lineRule="exact"/>
              <w:ind w:left="317" w:firstLine="0"/>
              <w:jc w:val="center"/>
              <w:rPr>
                <w:rFonts w:ascii="宋体" w:hAnsi="宋体"/>
                <w:color w:val="000000" w:themeColor="text1"/>
                <w:szCs w:val="21"/>
                <w14:textFill>
                  <w14:solidFill>
                    <w14:schemeClr w14:val="tx1"/>
                  </w14:solidFill>
                </w14:textFill>
              </w:rPr>
            </w:pPr>
          </w:p>
        </w:tc>
        <w:tc>
          <w:tcPr>
            <w:tcW w:w="1091" w:type="dxa"/>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关于</w:t>
            </w:r>
            <w:r>
              <w:rPr>
                <w:rFonts w:ascii="宋体" w:hAnsi="宋体"/>
                <w:color w:val="000000" w:themeColor="text1"/>
                <w:szCs w:val="21"/>
                <w14:textFill>
                  <w14:solidFill>
                    <w14:schemeClr w14:val="tx1"/>
                  </w14:solidFill>
                </w14:textFill>
              </w:rPr>
              <w:t>政府采购信用担保</w:t>
            </w:r>
          </w:p>
        </w:tc>
        <w:tc>
          <w:tcPr>
            <w:tcW w:w="6698" w:type="dxa"/>
            <w:vAlign w:val="center"/>
          </w:tcPr>
          <w:p>
            <w:pPr>
              <w:tabs>
                <w:tab w:val="left" w:pos="0"/>
              </w:tabs>
              <w:snapToGrid w:val="0"/>
              <w:spacing w:line="300" w:lineRule="exact"/>
              <w:jc w:val="left"/>
              <w:rPr>
                <w:rFonts w:ascii="宋体" w:hAnsi="宋体"/>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1)履约保函</w:t>
            </w:r>
            <w:r>
              <w:rPr>
                <w:rFonts w:hint="eastAsia" w:ascii="宋体" w:hAnsi="宋体"/>
                <w:bCs/>
                <w:color w:val="000000" w:themeColor="text1"/>
                <w:szCs w:val="21"/>
                <w14:textFill>
                  <w14:solidFill>
                    <w14:schemeClr w14:val="tx1"/>
                  </w14:solidFill>
                </w14:textFill>
              </w:rPr>
              <w:t>应是合法经营的银行机构出具的银行保函，非东莞市范围内银行出具的履约保函必须附上当地公证部门出具的公证文件。履约保函的内容，应符合招标文件、投标响应文件和采购合同的要求。履约保函应在采购合同有效期满后28天内继续有效。</w:t>
            </w:r>
          </w:p>
          <w:p>
            <w:pPr>
              <w:tabs>
                <w:tab w:val="left" w:pos="0"/>
              </w:tabs>
              <w:snapToGrid w:val="0"/>
              <w:spacing w:line="300" w:lineRule="exact"/>
              <w:ind w:firstLine="420" w:firstLineChars="200"/>
              <w:jc w:val="lef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若中标人不按</w:t>
            </w:r>
            <w:r>
              <w:rPr>
                <w:rFonts w:hint="eastAsia" w:ascii="宋体" w:hAnsi="宋体"/>
                <w:bCs/>
                <w:color w:val="000000" w:themeColor="text1"/>
                <w:szCs w:val="21"/>
                <w14:textFill>
                  <w14:solidFill>
                    <w14:schemeClr w14:val="tx1"/>
                  </w14:solidFill>
                </w14:textFill>
              </w:rPr>
              <w:t>规定提交履约保证金</w:t>
            </w:r>
            <w:r>
              <w:rPr>
                <w:rFonts w:ascii="宋体" w:hAnsi="宋体"/>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采购人</w:t>
            </w:r>
            <w:r>
              <w:rPr>
                <w:rFonts w:ascii="宋体" w:hAnsi="宋体"/>
                <w:bCs/>
                <w:color w:val="000000" w:themeColor="text1"/>
                <w:szCs w:val="21"/>
                <w14:textFill>
                  <w14:solidFill>
                    <w14:schemeClr w14:val="tx1"/>
                  </w14:solidFill>
                </w14:textFill>
              </w:rPr>
              <w:t>将有充分的理由解除合同，给</w:t>
            </w:r>
            <w:r>
              <w:rPr>
                <w:rFonts w:hint="eastAsia" w:ascii="宋体" w:hAnsi="宋体"/>
                <w:bCs/>
                <w:color w:val="000000" w:themeColor="text1"/>
                <w:szCs w:val="21"/>
                <w14:textFill>
                  <w14:solidFill>
                    <w14:schemeClr w14:val="tx1"/>
                  </w14:solidFill>
                </w14:textFill>
              </w:rPr>
              <w:t>采购人</w:t>
            </w:r>
            <w:r>
              <w:rPr>
                <w:rFonts w:ascii="宋体" w:hAnsi="宋体"/>
                <w:bCs/>
                <w:color w:val="000000" w:themeColor="text1"/>
                <w:szCs w:val="21"/>
                <w14:textFill>
                  <w14:solidFill>
                    <w14:schemeClr w14:val="tx1"/>
                  </w14:solidFill>
                </w14:textFill>
              </w:rPr>
              <w:t>造成的损失，还应当予以赔偿。</w:t>
            </w:r>
          </w:p>
          <w:p>
            <w:pPr>
              <w:spacing w:line="300" w:lineRule="exact"/>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2)融资担保：</w:t>
            </w:r>
            <w:r>
              <w:rPr>
                <w:rFonts w:hint="eastAsia" w:ascii="宋体" w:hAnsi="宋体"/>
                <w:bCs/>
                <w:color w:val="000000" w:themeColor="text1"/>
                <w:szCs w:val="21"/>
                <w14:textFill>
                  <w14:solidFill>
                    <w14:schemeClr w14:val="tx1"/>
                  </w14:solidFill>
                </w14:textFill>
              </w:rPr>
              <w:t>根据东莞市财政局《关于进一步推进政府采购信用担保工作的通知》（东财[2018]189号）规定，中标人可以选择是否采取信用担保融资的形式为政府采购项目履约进行融资。各投标人可自主决定是否使用信用担保方式，并选择担保机构提供的任何一种信用担保品种，财政部门、采购代理机构、采购人不得进行干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jc w:val="center"/>
        </w:trPr>
        <w:tc>
          <w:tcPr>
            <w:tcW w:w="739" w:type="dxa"/>
            <w:vAlign w:val="center"/>
          </w:tcPr>
          <w:p>
            <w:pPr>
              <w:numPr>
                <w:ilvl w:val="0"/>
                <w:numId w:val="11"/>
              </w:numPr>
              <w:tabs>
                <w:tab w:val="left" w:pos="2552"/>
              </w:tabs>
              <w:spacing w:line="300" w:lineRule="exact"/>
              <w:ind w:left="317" w:firstLine="0"/>
              <w:jc w:val="center"/>
              <w:rPr>
                <w:rFonts w:ascii="宋体" w:hAnsi="宋体"/>
                <w:color w:val="000000" w:themeColor="text1"/>
                <w:szCs w:val="21"/>
                <w14:textFill>
                  <w14:solidFill>
                    <w14:schemeClr w14:val="tx1"/>
                  </w14:solidFill>
                </w14:textFill>
              </w:rPr>
            </w:pPr>
          </w:p>
        </w:tc>
        <w:tc>
          <w:tcPr>
            <w:tcW w:w="1091" w:type="dxa"/>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关于</w:t>
            </w:r>
            <w:r>
              <w:rPr>
                <w:rFonts w:ascii="宋体" w:hAnsi="宋体"/>
                <w:color w:val="000000" w:themeColor="text1"/>
                <w:szCs w:val="21"/>
                <w14:textFill>
                  <w14:solidFill>
                    <w14:schemeClr w14:val="tx1"/>
                  </w14:solidFill>
                </w14:textFill>
              </w:rPr>
              <w:t>投标人信用信息</w:t>
            </w:r>
          </w:p>
        </w:tc>
        <w:tc>
          <w:tcPr>
            <w:tcW w:w="6698" w:type="dxa"/>
            <w:vAlign w:val="center"/>
          </w:tcPr>
          <w:p>
            <w:pPr>
              <w:tabs>
                <w:tab w:val="left" w:pos="0"/>
              </w:tabs>
              <w:snapToGrid w:val="0"/>
              <w:spacing w:line="30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采购代理机构在开标当日</w:t>
            </w:r>
            <w:r>
              <w:rPr>
                <w:rFonts w:ascii="宋体" w:hAnsi="宋体"/>
                <w:bCs/>
                <w:color w:val="000000" w:themeColor="text1"/>
                <w:szCs w:val="21"/>
                <w14:textFill>
                  <w14:solidFill>
                    <w14:schemeClr w14:val="tx1"/>
                  </w14:solidFill>
                </w14:textFill>
              </w:rPr>
              <w:t>通过“信用中国”网站（www.creditchina.gov.cn）、中国政府采购网（www.ccgp.gov.cn）查询</w:t>
            </w:r>
            <w:r>
              <w:rPr>
                <w:rFonts w:hint="eastAsia" w:ascii="宋体" w:hAnsi="宋体"/>
                <w:bCs/>
                <w:color w:val="000000" w:themeColor="text1"/>
                <w:szCs w:val="21"/>
                <w14:textFill>
                  <w14:solidFill>
                    <w14:schemeClr w14:val="tx1"/>
                  </w14:solidFill>
                </w14:textFill>
              </w:rPr>
              <w:t>供应商信用记录。</w:t>
            </w:r>
          </w:p>
          <w:p>
            <w:pPr>
              <w:tabs>
                <w:tab w:val="left" w:pos="0"/>
              </w:tabs>
              <w:snapToGrid w:val="0"/>
              <w:spacing w:line="30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对列入失信被执行人、重大税收违法案件当事人名单、政府采购严重违法失信行为记录名单</w:t>
            </w:r>
            <w:r>
              <w:rPr>
                <w:rFonts w:hint="eastAsia" w:ascii="宋体" w:hAnsi="宋体"/>
                <w:bCs/>
                <w:color w:val="000000" w:themeColor="text1"/>
                <w:szCs w:val="21"/>
                <w14:textFill>
                  <w14:solidFill>
                    <w14:schemeClr w14:val="tx1"/>
                  </w14:solidFill>
                </w14:textFill>
              </w:rPr>
              <w:t>、处于禁止参加政府采购活动期间</w:t>
            </w:r>
            <w:r>
              <w:rPr>
                <w:rFonts w:ascii="宋体" w:hAnsi="宋体"/>
                <w:bCs/>
                <w:color w:val="000000" w:themeColor="text1"/>
                <w:szCs w:val="21"/>
                <w14:textFill>
                  <w14:solidFill>
                    <w14:schemeClr w14:val="tx1"/>
                  </w14:solidFill>
                </w14:textFill>
              </w:rPr>
              <w:t>及其他不符合《中华人民共和国政府采购法》第二十二条规定条件的供应商，拒绝其参与政府采购活动</w:t>
            </w:r>
            <w:r>
              <w:rPr>
                <w:rFonts w:hint="eastAsia" w:ascii="宋体" w:hAnsi="宋体"/>
                <w:bCs/>
                <w:color w:val="000000" w:themeColor="text1"/>
                <w:szCs w:val="21"/>
                <w14:textFill>
                  <w14:solidFill>
                    <w14:schemeClr w14:val="tx1"/>
                  </w14:solidFill>
                </w14:textFill>
              </w:rPr>
              <w:t>。（处罚期限届满的除外</w:t>
            </w:r>
            <w:r>
              <w:rPr>
                <w:rFonts w:hint="eastAsia" w:ascii="宋体" w:hAnsi="宋体" w:cs="宋体"/>
                <w:color w:val="000000" w:themeColor="text1"/>
                <w:szCs w:val="21"/>
                <w14:textFill>
                  <w14:solidFill>
                    <w14:schemeClr w14:val="tx1"/>
                  </w14:solidFill>
                </w14:textFill>
              </w:rPr>
              <w:t>，如“信用中国”网站、</w:t>
            </w:r>
            <w:r>
              <w:rPr>
                <w:rFonts w:ascii="宋体" w:hAnsi="宋体"/>
                <w:bCs/>
                <w:color w:val="000000" w:themeColor="text1"/>
                <w:szCs w:val="21"/>
                <w14:textFill>
                  <w14:solidFill>
                    <w14:schemeClr w14:val="tx1"/>
                  </w14:solidFill>
                </w14:textFill>
              </w:rPr>
              <w:t>中国政府采购网</w:t>
            </w:r>
            <w:r>
              <w:rPr>
                <w:rFonts w:hint="eastAsia" w:ascii="宋体" w:hAnsi="宋体"/>
                <w:bCs/>
                <w:color w:val="000000" w:themeColor="text1"/>
                <w:szCs w:val="21"/>
                <w14:textFill>
                  <w14:solidFill>
                    <w14:schemeClr w14:val="tx1"/>
                  </w14:solidFill>
                </w14:textFill>
              </w:rPr>
              <w:t>网站</w:t>
            </w:r>
            <w:r>
              <w:rPr>
                <w:rFonts w:hint="eastAsia" w:ascii="宋体" w:hAnsi="宋体" w:cs="宋体"/>
                <w:color w:val="000000" w:themeColor="text1"/>
                <w:szCs w:val="21"/>
                <w14:textFill>
                  <w14:solidFill>
                    <w14:schemeClr w14:val="tx1"/>
                  </w14:solidFill>
                </w14:textFill>
              </w:rPr>
              <w:t>查询结果显示“没查到您要的信息”，视为没有上述不良信用记录</w:t>
            </w:r>
            <w:r>
              <w:rPr>
                <w:rFonts w:hint="eastAsia" w:ascii="宋体" w:hAnsi="宋体"/>
                <w:bCs/>
                <w:color w:val="000000" w:themeColor="text1"/>
                <w:szCs w:val="21"/>
                <w14:textFill>
                  <w14:solidFill>
                    <w14:schemeClr w14:val="tx1"/>
                  </w14:solidFill>
                </w14:textFill>
              </w:rPr>
              <w:t>）。</w:t>
            </w:r>
          </w:p>
          <w:p>
            <w:pPr>
              <w:spacing w:line="300" w:lineRule="exact"/>
              <w:rPr>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采购代理机构将</w:t>
            </w:r>
            <w:r>
              <w:rPr>
                <w:rFonts w:hint="eastAsia"/>
                <w:color w:val="000000" w:themeColor="text1"/>
                <w:szCs w:val="21"/>
                <w14:textFill>
                  <w14:solidFill>
                    <w14:schemeClr w14:val="tx1"/>
                  </w14:solidFill>
                </w14:textFill>
              </w:rPr>
              <w:t>信用信息查询记录和证据打印留存，信用信息查询记录及相关证据与其他采购文件一并保存。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jc w:val="center"/>
        </w:trPr>
        <w:tc>
          <w:tcPr>
            <w:tcW w:w="739" w:type="dxa"/>
            <w:vAlign w:val="center"/>
          </w:tcPr>
          <w:p>
            <w:pPr>
              <w:numPr>
                <w:ilvl w:val="0"/>
                <w:numId w:val="11"/>
              </w:numPr>
              <w:tabs>
                <w:tab w:val="left" w:pos="2552"/>
              </w:tabs>
              <w:spacing w:line="300" w:lineRule="exact"/>
              <w:ind w:left="317" w:firstLine="0"/>
              <w:jc w:val="center"/>
              <w:rPr>
                <w:rFonts w:ascii="宋体" w:hAnsi="宋体"/>
                <w:color w:val="000000" w:themeColor="text1"/>
                <w:szCs w:val="21"/>
                <w14:textFill>
                  <w14:solidFill>
                    <w14:schemeClr w14:val="tx1"/>
                  </w14:solidFill>
                </w14:textFill>
              </w:rPr>
            </w:pPr>
          </w:p>
        </w:tc>
        <w:tc>
          <w:tcPr>
            <w:tcW w:w="1091" w:type="dxa"/>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其他</w:t>
            </w:r>
          </w:p>
        </w:tc>
        <w:tc>
          <w:tcPr>
            <w:tcW w:w="6698" w:type="dxa"/>
            <w:vAlign w:val="center"/>
          </w:tcPr>
          <w:p>
            <w:pPr>
              <w:tabs>
                <w:tab w:val="left" w:pos="0"/>
              </w:tabs>
              <w:snapToGrid w:val="0"/>
              <w:spacing w:line="30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本项目不接受备选投标方案，不接受有任何选择或具有附加条件的报价，投标文件的报价只允许唯一方案报价。</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投标人必须认真仔细阅读上表内容，以免造成投标失败。</w:t>
      </w:r>
    </w:p>
    <w:p>
      <w:pPr>
        <w:pStyle w:val="32"/>
        <w:spacing w:line="360" w:lineRule="auto"/>
        <w:ind w:firstLine="0" w:firstLineChars="0"/>
        <w:rPr>
          <w:rFonts w:ascii="宋体" w:hAnsi="宋体" w:eastAsia="宋体" w:cs="宋体"/>
          <w:color w:val="000000" w:themeColor="text1"/>
          <w14:textFill>
            <w14:solidFill>
              <w14:schemeClr w14:val="tx1"/>
            </w14:solidFill>
          </w14:textFill>
        </w:rPr>
      </w:pPr>
    </w:p>
    <w:p>
      <w:pPr>
        <w:pStyle w:val="32"/>
        <w:spacing w:line="360" w:lineRule="auto"/>
        <w:ind w:firstLine="0" w:firstLineChars="0"/>
        <w:rPr>
          <w:rFonts w:ascii="宋体" w:hAnsi="宋体" w:eastAsia="宋体" w:cs="宋体"/>
          <w:color w:val="000000" w:themeColor="text1"/>
          <w14:textFill>
            <w14:solidFill>
              <w14:schemeClr w14:val="tx1"/>
            </w14:solidFill>
          </w14:textFill>
        </w:rPr>
      </w:pPr>
    </w:p>
    <w:p>
      <w:pPr>
        <w:rPr>
          <w:color w:val="000000" w:themeColor="text1"/>
          <w14:textFill>
            <w14:solidFill>
              <w14:schemeClr w14:val="tx1"/>
            </w14:solidFill>
          </w14:textFill>
        </w:rPr>
      </w:pPr>
      <w:bookmarkStart w:id="12" w:name="_Toc2774"/>
      <w:bookmarkStart w:id="13" w:name="_Toc9786"/>
      <w:bookmarkStart w:id="14" w:name="_Toc495977854"/>
      <w:bookmarkStart w:id="15" w:name="_Toc22632"/>
      <w:bookmarkStart w:id="16" w:name="_Toc416875932"/>
      <w:bookmarkStart w:id="17" w:name="_Toc2003"/>
      <w:bookmarkStart w:id="18" w:name="_Toc391627750"/>
      <w:bookmarkStart w:id="19" w:name="_Toc405313954"/>
      <w:r>
        <w:rPr>
          <w:rFonts w:hint="eastAsia"/>
          <w:color w:val="000000" w:themeColor="text1"/>
          <w14:textFill>
            <w14:solidFill>
              <w14:schemeClr w14:val="tx1"/>
            </w14:solidFill>
          </w14:textFill>
        </w:rPr>
        <w:br w:type="page"/>
      </w:r>
    </w:p>
    <w:p>
      <w:pPr>
        <w:pStyle w:val="4"/>
        <w:jc w:val="center"/>
        <w:rPr>
          <w:rFonts w:hAnsi="宋体"/>
          <w:color w:val="000000" w:themeColor="text1"/>
          <w14:textFill>
            <w14:solidFill>
              <w14:schemeClr w14:val="tx1"/>
            </w14:solidFill>
          </w14:textFill>
        </w:rPr>
      </w:pPr>
      <w:bookmarkStart w:id="20" w:name="_Toc12099"/>
      <w:r>
        <w:rPr>
          <w:rFonts w:hint="eastAsia" w:hAnsi="宋体"/>
          <w:color w:val="000000" w:themeColor="text1"/>
          <w14:textFill>
            <w14:solidFill>
              <w14:schemeClr w14:val="tx1"/>
            </w14:solidFill>
          </w14:textFill>
        </w:rPr>
        <w:t>（</w:t>
      </w:r>
      <w:bookmarkStart w:id="21" w:name="_Hlt156905132"/>
      <w:bookmarkEnd w:id="21"/>
      <w:r>
        <w:rPr>
          <w:rFonts w:hint="eastAsia" w:hAnsi="宋体"/>
          <w:color w:val="000000" w:themeColor="text1"/>
          <w14:textFill>
            <w14:solidFill>
              <w14:schemeClr w14:val="tx1"/>
            </w14:solidFill>
          </w14:textFill>
        </w:rPr>
        <w:t>一）总  则</w:t>
      </w:r>
      <w:bookmarkEnd w:id="12"/>
      <w:bookmarkEnd w:id="13"/>
      <w:bookmarkEnd w:id="14"/>
      <w:bookmarkEnd w:id="15"/>
      <w:bookmarkEnd w:id="16"/>
      <w:bookmarkEnd w:id="17"/>
      <w:bookmarkEnd w:id="20"/>
      <w:bookmarkStart w:id="22" w:name="_Hlt87773346"/>
      <w:bookmarkEnd w:id="22"/>
    </w:p>
    <w:p>
      <w:pPr>
        <w:numPr>
          <w:ilvl w:val="0"/>
          <w:numId w:val="12"/>
        </w:numPr>
        <w:snapToGrid w:val="0"/>
        <w:spacing w:line="360" w:lineRule="auto"/>
        <w:rPr>
          <w:rFonts w:ascii="宋体" w:hAnsi="宋体"/>
          <w:b/>
          <w:color w:val="000000" w:themeColor="text1"/>
          <w:szCs w:val="20"/>
          <w14:textFill>
            <w14:solidFill>
              <w14:schemeClr w14:val="tx1"/>
            </w14:solidFill>
          </w14:textFill>
        </w:rPr>
      </w:pPr>
      <w:r>
        <w:rPr>
          <w:rFonts w:hint="eastAsia" w:ascii="宋体" w:hAnsi="宋体"/>
          <w:b/>
          <w:color w:val="000000" w:themeColor="text1"/>
          <w:szCs w:val="20"/>
          <w14:textFill>
            <w14:solidFill>
              <w14:schemeClr w14:val="tx1"/>
            </w14:solidFill>
          </w14:textFill>
        </w:rPr>
        <w:t>说明</w:t>
      </w:r>
    </w:p>
    <w:p>
      <w:pPr>
        <w:numPr>
          <w:ilvl w:val="1"/>
          <w:numId w:val="12"/>
        </w:numPr>
        <w:snapToGrid w:val="0"/>
        <w:spacing w:line="360" w:lineRule="auto"/>
        <w:rPr>
          <w:rFonts w:ascii="宋体" w:hAnsi="宋体"/>
          <w:color w:val="000000" w:themeColor="text1"/>
          <w:szCs w:val="20"/>
          <w14:textFill>
            <w14:solidFill>
              <w14:schemeClr w14:val="tx1"/>
            </w14:solidFill>
          </w14:textFill>
        </w:rPr>
      </w:pPr>
      <w:r>
        <w:rPr>
          <w:rFonts w:hint="eastAsia" w:ascii="宋体" w:hAnsi="宋体"/>
          <w:color w:val="000000" w:themeColor="text1"/>
          <w:szCs w:val="20"/>
          <w14:textFill>
            <w14:solidFill>
              <w14:schemeClr w14:val="tx1"/>
            </w14:solidFill>
          </w14:textFill>
        </w:rPr>
        <w:t>资金来源：见投标须知前附表第1项。</w:t>
      </w:r>
    </w:p>
    <w:p>
      <w:pPr>
        <w:numPr>
          <w:ilvl w:val="1"/>
          <w:numId w:val="12"/>
        </w:numPr>
        <w:snapToGrid w:val="0"/>
        <w:spacing w:line="360" w:lineRule="auto"/>
        <w:rPr>
          <w:rFonts w:ascii="宋体" w:hAnsi="宋体"/>
          <w:color w:val="000000" w:themeColor="text1"/>
          <w:szCs w:val="20"/>
          <w14:textFill>
            <w14:solidFill>
              <w14:schemeClr w14:val="tx1"/>
            </w14:solidFill>
          </w14:textFill>
        </w:rPr>
      </w:pPr>
      <w:r>
        <w:rPr>
          <w:rFonts w:hint="eastAsia" w:ascii="宋体" w:hAnsi="宋体"/>
          <w:color w:val="000000" w:themeColor="text1"/>
          <w:szCs w:val="20"/>
          <w14:textFill>
            <w14:solidFill>
              <w14:schemeClr w14:val="tx1"/>
            </w14:solidFill>
          </w14:textFill>
        </w:rPr>
        <w:t>招标内容：见本招标文件“第一部分 投标邀请函</w:t>
      </w:r>
      <w:r>
        <w:rPr>
          <w:rFonts w:hint="eastAsia" w:ascii="宋体" w:hAnsi="宋体"/>
          <w:color w:val="000000" w:themeColor="text1"/>
          <w:kern w:val="28"/>
          <w:szCs w:val="20"/>
          <w14:textFill>
            <w14:solidFill>
              <w14:schemeClr w14:val="tx1"/>
            </w14:solidFill>
          </w14:textFill>
        </w:rPr>
        <w:t>”</w:t>
      </w:r>
      <w:r>
        <w:rPr>
          <w:rFonts w:hint="eastAsia" w:ascii="宋体" w:hAnsi="宋体"/>
          <w:color w:val="000000" w:themeColor="text1"/>
          <w:szCs w:val="20"/>
          <w14:textFill>
            <w14:solidFill>
              <w14:schemeClr w14:val="tx1"/>
            </w14:solidFill>
          </w14:textFill>
        </w:rPr>
        <w:t xml:space="preserve"> （详细要求见“用户需求”）。</w:t>
      </w:r>
    </w:p>
    <w:p>
      <w:pPr>
        <w:pStyle w:val="35"/>
        <w:snapToGrid w:val="0"/>
        <w:spacing w:before="0" w:after="0" w:line="360" w:lineRule="auto"/>
        <w:rPr>
          <w:color w:val="000000" w:themeColor="text1"/>
          <w:spacing w:val="0"/>
          <w:kern w:val="2"/>
          <w:sz w:val="21"/>
          <w:szCs w:val="21"/>
          <w14:textFill>
            <w14:solidFill>
              <w14:schemeClr w14:val="tx1"/>
            </w14:solidFill>
          </w14:textFill>
        </w:rPr>
      </w:pPr>
    </w:p>
    <w:p>
      <w:pPr>
        <w:numPr>
          <w:ilvl w:val="0"/>
          <w:numId w:val="12"/>
        </w:numPr>
        <w:snapToGrid w:val="0"/>
        <w:spacing w:line="360" w:lineRule="auto"/>
        <w:rPr>
          <w:rFonts w:ascii="宋体" w:hAnsi="宋体"/>
          <w:color w:val="000000" w:themeColor="text1"/>
          <w:szCs w:val="20"/>
          <w14:textFill>
            <w14:solidFill>
              <w14:schemeClr w14:val="tx1"/>
            </w14:solidFill>
          </w14:textFill>
        </w:rPr>
      </w:pPr>
      <w:r>
        <w:rPr>
          <w:rFonts w:hint="eastAsia" w:ascii="宋体" w:hAnsi="宋体"/>
          <w:color w:val="000000" w:themeColor="text1"/>
          <w:szCs w:val="20"/>
          <w14:textFill>
            <w14:solidFill>
              <w14:schemeClr w14:val="tx1"/>
            </w14:solidFill>
          </w14:textFill>
        </w:rPr>
        <w:t>★合格的投标人</w:t>
      </w:r>
    </w:p>
    <w:p>
      <w:pPr>
        <w:numPr>
          <w:ilvl w:val="1"/>
          <w:numId w:val="12"/>
        </w:numPr>
        <w:snapToGrid w:val="0"/>
        <w:spacing w:line="360" w:lineRule="auto"/>
        <w:rPr>
          <w:rFonts w:ascii="宋体" w:hAnsi="宋体"/>
          <w:color w:val="000000" w:themeColor="text1"/>
          <w:szCs w:val="20"/>
          <w14:textFill>
            <w14:solidFill>
              <w14:schemeClr w14:val="tx1"/>
            </w14:solidFill>
          </w14:textFill>
        </w:rPr>
      </w:pPr>
      <w:bookmarkStart w:id="23" w:name="_Hlt92101665"/>
      <w:bookmarkEnd w:id="23"/>
      <w:r>
        <w:rPr>
          <w:rFonts w:hint="eastAsia" w:ascii="宋体" w:hAnsi="宋体"/>
          <w:color w:val="000000" w:themeColor="text1"/>
          <w:szCs w:val="20"/>
          <w14:textFill>
            <w14:solidFill>
              <w14:schemeClr w14:val="tx1"/>
            </w14:solidFill>
          </w14:textFill>
        </w:rPr>
        <w:t>见“第一部分 投标邀请函”中供应商资格要求。</w:t>
      </w:r>
    </w:p>
    <w:p>
      <w:pPr>
        <w:snapToGrid w:val="0"/>
        <w:spacing w:line="360" w:lineRule="auto"/>
        <w:rPr>
          <w:rFonts w:ascii="宋体" w:hAnsi="宋体"/>
          <w:color w:val="000000" w:themeColor="text1"/>
          <w:szCs w:val="20"/>
          <w14:textFill>
            <w14:solidFill>
              <w14:schemeClr w14:val="tx1"/>
            </w14:solidFill>
          </w14:textFill>
        </w:rPr>
      </w:pPr>
    </w:p>
    <w:p>
      <w:pPr>
        <w:numPr>
          <w:ilvl w:val="0"/>
          <w:numId w:val="12"/>
        </w:numPr>
        <w:snapToGrid w:val="0"/>
        <w:spacing w:line="360" w:lineRule="auto"/>
        <w:rPr>
          <w:rFonts w:ascii="宋体" w:hAnsi="宋体"/>
          <w:b/>
          <w:color w:val="000000" w:themeColor="text1"/>
          <w:szCs w:val="20"/>
          <w14:textFill>
            <w14:solidFill>
              <w14:schemeClr w14:val="tx1"/>
            </w14:solidFill>
          </w14:textFill>
        </w:rPr>
      </w:pPr>
      <w:r>
        <w:rPr>
          <w:rFonts w:hint="eastAsia" w:ascii="宋体" w:hAnsi="宋体"/>
          <w:b/>
          <w:color w:val="000000" w:themeColor="text1"/>
          <w:szCs w:val="20"/>
          <w14:textFill>
            <w14:solidFill>
              <w14:schemeClr w14:val="tx1"/>
            </w14:solidFill>
          </w14:textFill>
        </w:rPr>
        <w:t>定义及解释</w:t>
      </w:r>
      <w:bookmarkStart w:id="24" w:name="_Hlt107746020"/>
      <w:bookmarkEnd w:id="24"/>
    </w:p>
    <w:p>
      <w:pPr>
        <w:numPr>
          <w:ilvl w:val="1"/>
          <w:numId w:val="12"/>
        </w:numPr>
        <w:snapToGrid w:val="0"/>
        <w:spacing w:line="360" w:lineRule="auto"/>
        <w:rPr>
          <w:rFonts w:ascii="宋体" w:hAnsi="宋体"/>
          <w:color w:val="000000" w:themeColor="text1"/>
          <w:szCs w:val="20"/>
          <w14:textFill>
            <w14:solidFill>
              <w14:schemeClr w14:val="tx1"/>
            </w14:solidFill>
          </w14:textFill>
        </w:rPr>
      </w:pPr>
      <w:r>
        <w:rPr>
          <w:rFonts w:hint="eastAsia" w:ascii="宋体" w:hAnsi="宋体"/>
          <w:color w:val="000000" w:themeColor="text1"/>
          <w:szCs w:val="20"/>
          <w14:textFill>
            <w14:solidFill>
              <w14:schemeClr w14:val="tx1"/>
            </w14:solidFill>
          </w14:textFill>
        </w:rPr>
        <w:t>招标人：</w:t>
      </w:r>
      <w:bookmarkStart w:id="25" w:name="_Hlt107746227"/>
      <w:bookmarkEnd w:id="25"/>
      <w:r>
        <w:rPr>
          <w:rFonts w:hint="eastAsia" w:ascii="宋体" w:hAnsi="宋体"/>
          <w:color w:val="000000" w:themeColor="text1"/>
          <w:szCs w:val="20"/>
          <w:lang w:val="zh-CN"/>
          <w14:textFill>
            <w14:solidFill>
              <w14:schemeClr w14:val="tx1"/>
            </w14:solidFill>
          </w14:textFill>
        </w:rPr>
        <w:t>东莞市纺织服装学校</w:t>
      </w:r>
      <w:r>
        <w:rPr>
          <w:rFonts w:hint="eastAsia" w:ascii="宋体" w:hAnsi="宋体"/>
          <w:color w:val="000000" w:themeColor="text1"/>
          <w:szCs w:val="20"/>
          <w14:textFill>
            <w14:solidFill>
              <w14:schemeClr w14:val="tx1"/>
            </w14:solidFill>
          </w14:textFill>
        </w:rPr>
        <w:t>。</w:t>
      </w:r>
    </w:p>
    <w:p>
      <w:pPr>
        <w:numPr>
          <w:ilvl w:val="1"/>
          <w:numId w:val="12"/>
        </w:numPr>
        <w:snapToGrid w:val="0"/>
        <w:spacing w:line="360" w:lineRule="auto"/>
        <w:rPr>
          <w:rFonts w:ascii="宋体" w:hAnsi="宋体"/>
          <w:color w:val="000000" w:themeColor="text1"/>
          <w:szCs w:val="20"/>
          <w14:textFill>
            <w14:solidFill>
              <w14:schemeClr w14:val="tx1"/>
            </w14:solidFill>
          </w14:textFill>
        </w:rPr>
      </w:pPr>
      <w:r>
        <w:rPr>
          <w:rFonts w:hint="eastAsia" w:ascii="宋体" w:hAnsi="宋体"/>
          <w:color w:val="000000" w:themeColor="text1"/>
          <w:szCs w:val="20"/>
          <w14:textFill>
            <w14:solidFill>
              <w14:schemeClr w14:val="tx1"/>
            </w14:solidFill>
          </w14:textFill>
        </w:rPr>
        <w:t>投标人：指响应招标，参加投标竞争的法人、其他组织或个人。</w:t>
      </w:r>
    </w:p>
    <w:p>
      <w:pPr>
        <w:numPr>
          <w:ilvl w:val="1"/>
          <w:numId w:val="12"/>
        </w:numPr>
        <w:snapToGrid w:val="0"/>
        <w:spacing w:line="360" w:lineRule="auto"/>
        <w:rPr>
          <w:rFonts w:ascii="宋体" w:hAnsi="宋体"/>
          <w:color w:val="000000" w:themeColor="text1"/>
          <w:szCs w:val="20"/>
          <w14:textFill>
            <w14:solidFill>
              <w14:schemeClr w14:val="tx1"/>
            </w14:solidFill>
          </w14:textFill>
        </w:rPr>
      </w:pPr>
      <w:r>
        <w:rPr>
          <w:rFonts w:hint="eastAsia" w:ascii="宋体" w:hAnsi="宋体"/>
          <w:color w:val="000000" w:themeColor="text1"/>
          <w:szCs w:val="20"/>
          <w14:textFill>
            <w14:solidFill>
              <w14:schemeClr w14:val="tx1"/>
            </w14:solidFill>
          </w14:textFill>
        </w:rPr>
        <w:t>评标委员会：评标委员会是依《中华人民共和国政府采购法》组建的专门负责本次招标的评审工作的临时性组织。</w:t>
      </w:r>
    </w:p>
    <w:p>
      <w:pPr>
        <w:numPr>
          <w:ilvl w:val="1"/>
          <w:numId w:val="12"/>
        </w:numPr>
        <w:snapToGrid w:val="0"/>
        <w:spacing w:line="360" w:lineRule="auto"/>
        <w:rPr>
          <w:rFonts w:ascii="宋体" w:hAnsi="宋体"/>
          <w:color w:val="000000" w:themeColor="text1"/>
          <w:szCs w:val="20"/>
          <w14:textFill>
            <w14:solidFill>
              <w14:schemeClr w14:val="tx1"/>
            </w14:solidFill>
          </w14:textFill>
        </w:rPr>
      </w:pPr>
      <w:r>
        <w:rPr>
          <w:rFonts w:hint="eastAsia" w:ascii="宋体" w:hAnsi="宋体"/>
          <w:color w:val="000000" w:themeColor="text1"/>
          <w:szCs w:val="20"/>
          <w14:textFill>
            <w14:solidFill>
              <w14:schemeClr w14:val="tx1"/>
            </w14:solidFill>
          </w14:textFill>
        </w:rPr>
        <w:t>采购代理机构：广东旭腾项目管理有限公司</w:t>
      </w:r>
    </w:p>
    <w:p>
      <w:pPr>
        <w:numPr>
          <w:ilvl w:val="1"/>
          <w:numId w:val="12"/>
        </w:numPr>
        <w:snapToGrid w:val="0"/>
        <w:spacing w:line="360" w:lineRule="auto"/>
        <w:rPr>
          <w:rFonts w:ascii="宋体" w:hAnsi="宋体"/>
          <w:color w:val="000000" w:themeColor="text1"/>
          <w:szCs w:val="20"/>
          <w14:textFill>
            <w14:solidFill>
              <w14:schemeClr w14:val="tx1"/>
            </w14:solidFill>
          </w14:textFill>
        </w:rPr>
      </w:pPr>
      <w:r>
        <w:rPr>
          <w:rFonts w:hint="eastAsia" w:ascii="宋体" w:hAnsi="宋体"/>
          <w:color w:val="000000" w:themeColor="text1"/>
          <w:szCs w:val="20"/>
          <w14:textFill>
            <w14:solidFill>
              <w14:schemeClr w14:val="tx1"/>
            </w14:solidFill>
          </w14:textFill>
        </w:rPr>
        <w:t>日期：指公历日。</w:t>
      </w:r>
    </w:p>
    <w:p>
      <w:pPr>
        <w:numPr>
          <w:ilvl w:val="1"/>
          <w:numId w:val="12"/>
        </w:numPr>
        <w:snapToGrid w:val="0"/>
        <w:spacing w:line="360" w:lineRule="auto"/>
        <w:rPr>
          <w:rFonts w:ascii="宋体" w:hAnsi="宋体"/>
          <w:color w:val="000000" w:themeColor="text1"/>
          <w:szCs w:val="20"/>
          <w14:textFill>
            <w14:solidFill>
              <w14:schemeClr w14:val="tx1"/>
            </w14:solidFill>
          </w14:textFill>
        </w:rPr>
      </w:pPr>
      <w:r>
        <w:rPr>
          <w:rFonts w:hint="eastAsia" w:ascii="宋体" w:hAnsi="宋体"/>
          <w:color w:val="000000" w:themeColor="text1"/>
          <w:szCs w:val="20"/>
          <w14:textFill>
            <w14:solidFill>
              <w14:schemeClr w14:val="tx1"/>
            </w14:solidFill>
          </w14:textFill>
        </w:rPr>
        <w:t>招标文件中的标题或题名仅起引导作用，而不应视为对招标文件内容的理解和解释。</w:t>
      </w:r>
    </w:p>
    <w:p>
      <w:pPr>
        <w:numPr>
          <w:ilvl w:val="1"/>
          <w:numId w:val="12"/>
        </w:numPr>
        <w:snapToGrid w:val="0"/>
        <w:spacing w:line="360" w:lineRule="auto"/>
        <w:rPr>
          <w:rFonts w:ascii="宋体" w:hAnsi="宋体"/>
          <w:color w:val="000000" w:themeColor="text1"/>
          <w:szCs w:val="20"/>
          <w14:textFill>
            <w14:solidFill>
              <w14:schemeClr w14:val="tx1"/>
            </w14:solidFill>
          </w14:textFill>
        </w:rPr>
      </w:pPr>
      <w:r>
        <w:rPr>
          <w:rFonts w:hint="eastAsia" w:ascii="宋体" w:hAnsi="宋体"/>
          <w:color w:val="000000" w:themeColor="text1"/>
          <w:szCs w:val="20"/>
          <w14:textFill>
            <w14:solidFill>
              <w14:schemeClr w14:val="tx1"/>
            </w14:solidFill>
          </w14:textFill>
        </w:rPr>
        <w:t>招标文件中所规定的“书面形式”，是指任何手写、打印的或印刷的文件，包括电报和传真发送。</w:t>
      </w:r>
    </w:p>
    <w:p>
      <w:pPr>
        <w:snapToGrid w:val="0"/>
        <w:spacing w:line="360" w:lineRule="auto"/>
        <w:rPr>
          <w:rFonts w:ascii="宋体" w:hAnsi="宋体"/>
          <w:color w:val="000000" w:themeColor="text1"/>
          <w14:textFill>
            <w14:solidFill>
              <w14:schemeClr w14:val="tx1"/>
            </w14:solidFill>
          </w14:textFill>
        </w:rPr>
      </w:pPr>
    </w:p>
    <w:p>
      <w:pPr>
        <w:numPr>
          <w:ilvl w:val="0"/>
          <w:numId w:val="12"/>
        </w:numPr>
        <w:snapToGrid w:val="0"/>
        <w:spacing w:line="360" w:lineRule="auto"/>
        <w:rPr>
          <w:rFonts w:ascii="宋体" w:hAnsi="宋体"/>
          <w:b/>
          <w:color w:val="000000" w:themeColor="text1"/>
          <w:szCs w:val="20"/>
          <w14:textFill>
            <w14:solidFill>
              <w14:schemeClr w14:val="tx1"/>
            </w14:solidFill>
          </w14:textFill>
        </w:rPr>
      </w:pPr>
      <w:r>
        <w:rPr>
          <w:rFonts w:hint="eastAsia" w:ascii="宋体" w:hAnsi="宋体"/>
          <w:b/>
          <w:color w:val="000000" w:themeColor="text1"/>
          <w:szCs w:val="20"/>
          <w14:textFill>
            <w14:solidFill>
              <w14:schemeClr w14:val="tx1"/>
            </w14:solidFill>
          </w14:textFill>
        </w:rPr>
        <w:t>纪律与保密事项</w:t>
      </w:r>
    </w:p>
    <w:p>
      <w:pPr>
        <w:numPr>
          <w:ilvl w:val="1"/>
          <w:numId w:val="12"/>
        </w:numPr>
        <w:snapToGrid w:val="0"/>
        <w:spacing w:line="360" w:lineRule="auto"/>
        <w:rPr>
          <w:rFonts w:ascii="宋体" w:hAnsi="宋体"/>
          <w:color w:val="000000" w:themeColor="text1"/>
          <w:szCs w:val="20"/>
          <w14:textFill>
            <w14:solidFill>
              <w14:schemeClr w14:val="tx1"/>
            </w14:solidFill>
          </w14:textFill>
        </w:rPr>
      </w:pPr>
      <w:r>
        <w:rPr>
          <w:rFonts w:hint="eastAsia" w:ascii="宋体" w:hAnsi="宋体"/>
          <w:color w:val="000000" w:themeColor="text1"/>
          <w:szCs w:val="20"/>
          <w14:textFill>
            <w14:solidFill>
              <w14:schemeClr w14:val="tx1"/>
            </w14:solidFill>
          </w14:textFill>
        </w:rPr>
        <w:t>凡参与本项目的有关人员均应自觉接受有关部门的监督，不得向他人透露已获得招标文件的潜在投标人的名称、数量以及可能影响公平竞争的有关本次招标的其他情况。</w:t>
      </w:r>
    </w:p>
    <w:p>
      <w:pPr>
        <w:numPr>
          <w:ilvl w:val="1"/>
          <w:numId w:val="12"/>
        </w:numPr>
        <w:snapToGrid w:val="0"/>
        <w:spacing w:line="360" w:lineRule="auto"/>
        <w:rPr>
          <w:rFonts w:ascii="宋体" w:hAnsi="宋体"/>
          <w:color w:val="000000" w:themeColor="text1"/>
          <w:szCs w:val="20"/>
          <w14:textFill>
            <w14:solidFill>
              <w14:schemeClr w14:val="tx1"/>
            </w14:solidFill>
          </w14:textFill>
        </w:rPr>
      </w:pPr>
      <w:r>
        <w:rPr>
          <w:rFonts w:hint="eastAsia" w:ascii="宋体" w:hAnsi="宋体"/>
          <w:color w:val="000000" w:themeColor="text1"/>
          <w:szCs w:val="20"/>
          <w14:textFill>
            <w14:solidFill>
              <w14:schemeClr w14:val="tx1"/>
            </w14:solidFill>
          </w14:textFill>
        </w:rPr>
        <w:t>开标开始，直至向中标人发出《中标通知书》时止，凡与审查、更正、评价和比较报价的有关资料以及授标意见等，参与评标工作的有关人员均不得向投标人及与评审无关的其他人透露。</w:t>
      </w:r>
    </w:p>
    <w:p>
      <w:pPr>
        <w:numPr>
          <w:ilvl w:val="1"/>
          <w:numId w:val="12"/>
        </w:numPr>
        <w:snapToGrid w:val="0"/>
        <w:spacing w:line="360" w:lineRule="auto"/>
        <w:rPr>
          <w:rFonts w:ascii="宋体" w:hAnsi="宋体"/>
          <w:color w:val="000000" w:themeColor="text1"/>
          <w:szCs w:val="20"/>
          <w14:textFill>
            <w14:solidFill>
              <w14:schemeClr w14:val="tx1"/>
            </w14:solidFill>
          </w14:textFill>
        </w:rPr>
      </w:pPr>
      <w:r>
        <w:rPr>
          <w:rFonts w:hint="eastAsia" w:ascii="宋体" w:hAnsi="宋体"/>
          <w:color w:val="000000" w:themeColor="text1"/>
          <w:szCs w:val="20"/>
          <w14:textFill>
            <w14:solidFill>
              <w14:schemeClr w14:val="tx1"/>
            </w14:solidFill>
          </w14:textFill>
        </w:rPr>
        <w:t>投标人不得串通作弊，以不正当的手段妨碍、排挤其他投标人，破坏公平竞争原则。</w:t>
      </w:r>
    </w:p>
    <w:p>
      <w:pPr>
        <w:numPr>
          <w:ilvl w:val="1"/>
          <w:numId w:val="12"/>
        </w:numPr>
        <w:snapToGrid w:val="0"/>
        <w:spacing w:line="360" w:lineRule="auto"/>
        <w:rPr>
          <w:rFonts w:ascii="宋体" w:hAnsi="宋体"/>
          <w:color w:val="000000" w:themeColor="text1"/>
          <w:szCs w:val="20"/>
          <w14:textFill>
            <w14:solidFill>
              <w14:schemeClr w14:val="tx1"/>
            </w14:solidFill>
          </w14:textFill>
        </w:rPr>
      </w:pPr>
      <w:r>
        <w:rPr>
          <w:rFonts w:hint="eastAsia" w:ascii="宋体" w:hAnsi="宋体"/>
          <w:color w:val="000000" w:themeColor="text1"/>
          <w:szCs w:val="20"/>
          <w14:textFill>
            <w14:solidFill>
              <w14:schemeClr w14:val="tx1"/>
            </w14:solidFill>
          </w14:textFill>
        </w:rPr>
        <w:t>凡两家或以上供应商参加同一项目的采购，有如下情况的，一经发现，将视同串标处理：</w:t>
      </w:r>
    </w:p>
    <w:p>
      <w:pPr>
        <w:numPr>
          <w:ilvl w:val="0"/>
          <w:numId w:val="13"/>
        </w:numPr>
        <w:snapToGrid w:val="0"/>
        <w:spacing w:line="360" w:lineRule="auto"/>
        <w:rPr>
          <w:rFonts w:ascii="宋体" w:hAnsi="宋体"/>
          <w:color w:val="000000" w:themeColor="text1"/>
          <w:u w:val="single"/>
          <w14:textFill>
            <w14:solidFill>
              <w14:schemeClr w14:val="tx1"/>
            </w14:solidFill>
          </w14:textFill>
        </w:rPr>
      </w:pPr>
      <w:r>
        <w:rPr>
          <w:rFonts w:hint="eastAsia" w:ascii="宋体" w:hAnsi="宋体"/>
          <w:color w:val="000000" w:themeColor="text1"/>
          <w:u w:val="single"/>
          <w14:textFill>
            <w14:solidFill>
              <w14:schemeClr w14:val="tx1"/>
            </w14:solidFill>
          </w14:textFill>
        </w:rPr>
        <w:t>为同一法定代表人的；</w:t>
      </w:r>
    </w:p>
    <w:p>
      <w:pPr>
        <w:numPr>
          <w:ilvl w:val="0"/>
          <w:numId w:val="13"/>
        </w:numPr>
        <w:snapToGrid w:val="0"/>
        <w:spacing w:line="360" w:lineRule="auto"/>
        <w:rPr>
          <w:rFonts w:ascii="宋体" w:hAnsi="宋体"/>
          <w:color w:val="000000" w:themeColor="text1"/>
          <w:u w:val="single"/>
          <w14:textFill>
            <w14:solidFill>
              <w14:schemeClr w14:val="tx1"/>
            </w14:solidFill>
          </w14:textFill>
        </w:rPr>
      </w:pPr>
      <w:r>
        <w:rPr>
          <w:rFonts w:hint="eastAsia" w:ascii="宋体" w:hAnsi="宋体"/>
          <w:color w:val="000000" w:themeColor="text1"/>
          <w:u w:val="single"/>
          <w14:textFill>
            <w14:solidFill>
              <w14:schemeClr w14:val="tx1"/>
            </w14:solidFill>
          </w14:textFill>
        </w:rPr>
        <w:t>为同一股东控股的；</w:t>
      </w:r>
    </w:p>
    <w:p>
      <w:pPr>
        <w:numPr>
          <w:ilvl w:val="0"/>
          <w:numId w:val="13"/>
        </w:numPr>
        <w:snapToGrid w:val="0"/>
        <w:spacing w:line="360" w:lineRule="auto"/>
        <w:rPr>
          <w:rFonts w:ascii="宋体" w:hAnsi="宋体"/>
          <w:color w:val="000000" w:themeColor="text1"/>
          <w:u w:val="single"/>
          <w14:textFill>
            <w14:solidFill>
              <w14:schemeClr w14:val="tx1"/>
            </w14:solidFill>
          </w14:textFill>
        </w:rPr>
      </w:pPr>
      <w:r>
        <w:rPr>
          <w:rFonts w:hint="eastAsia" w:ascii="宋体" w:hAnsi="宋体"/>
          <w:color w:val="000000" w:themeColor="text1"/>
          <w:u w:val="single"/>
          <w14:textFill>
            <w14:solidFill>
              <w14:schemeClr w14:val="tx1"/>
            </w14:solidFill>
          </w14:textFill>
        </w:rPr>
        <w:t>其中一家公司为其他公司最大股东的。</w:t>
      </w:r>
    </w:p>
    <w:p>
      <w:pPr>
        <w:numPr>
          <w:ilvl w:val="1"/>
          <w:numId w:val="12"/>
        </w:numPr>
        <w:snapToGrid w:val="0"/>
        <w:spacing w:line="360" w:lineRule="auto"/>
        <w:rPr>
          <w:rFonts w:ascii="宋体" w:hAnsi="宋体"/>
          <w:color w:val="000000" w:themeColor="text1"/>
          <w:szCs w:val="20"/>
          <w14:textFill>
            <w14:solidFill>
              <w14:schemeClr w14:val="tx1"/>
            </w14:solidFill>
          </w14:textFill>
        </w:rPr>
      </w:pPr>
      <w:r>
        <w:rPr>
          <w:rFonts w:hint="eastAsia" w:ascii="宋体" w:hAnsi="宋体"/>
          <w:color w:val="000000" w:themeColor="text1"/>
          <w:szCs w:val="20"/>
          <w14:textFill>
            <w14:solidFill>
              <w14:schemeClr w14:val="tx1"/>
            </w14:solidFill>
          </w14:textFill>
        </w:rPr>
        <w:t>获得本招标文件者，应对文件进行保密，不得用作本次项目以外的任何用途。若有要求，评标结束后，投标人应归还招标文件中的保密的文件和资料。</w:t>
      </w:r>
    </w:p>
    <w:p>
      <w:pPr>
        <w:snapToGrid w:val="0"/>
        <w:spacing w:line="360" w:lineRule="auto"/>
        <w:rPr>
          <w:rFonts w:ascii="宋体" w:hAnsi="宋体"/>
          <w:color w:val="000000" w:themeColor="text1"/>
          <w14:textFill>
            <w14:solidFill>
              <w14:schemeClr w14:val="tx1"/>
            </w14:solidFill>
          </w14:textFill>
        </w:rPr>
      </w:pPr>
    </w:p>
    <w:p>
      <w:pPr>
        <w:numPr>
          <w:ilvl w:val="0"/>
          <w:numId w:val="12"/>
        </w:numPr>
        <w:snapToGrid w:val="0"/>
        <w:spacing w:line="360" w:lineRule="auto"/>
        <w:rPr>
          <w:rFonts w:ascii="宋体" w:hAnsi="宋体"/>
          <w:b/>
          <w:color w:val="000000" w:themeColor="text1"/>
          <w:szCs w:val="20"/>
          <w14:textFill>
            <w14:solidFill>
              <w14:schemeClr w14:val="tx1"/>
            </w14:solidFill>
          </w14:textFill>
        </w:rPr>
      </w:pPr>
      <w:r>
        <w:rPr>
          <w:rFonts w:hint="eastAsia" w:ascii="宋体" w:hAnsi="宋体"/>
          <w:b/>
          <w:color w:val="000000" w:themeColor="text1"/>
          <w:szCs w:val="20"/>
          <w14:textFill>
            <w14:solidFill>
              <w14:schemeClr w14:val="tx1"/>
            </w14:solidFill>
          </w14:textFill>
        </w:rPr>
        <w:t>投标费用</w:t>
      </w:r>
    </w:p>
    <w:p>
      <w:pPr>
        <w:numPr>
          <w:ilvl w:val="1"/>
          <w:numId w:val="12"/>
        </w:numPr>
        <w:snapToGrid w:val="0"/>
        <w:spacing w:line="360" w:lineRule="auto"/>
        <w:rPr>
          <w:rFonts w:ascii="宋体" w:hAnsi="宋体"/>
          <w:color w:val="000000" w:themeColor="text1"/>
          <w:szCs w:val="20"/>
          <w14:textFill>
            <w14:solidFill>
              <w14:schemeClr w14:val="tx1"/>
            </w14:solidFill>
          </w14:textFill>
        </w:rPr>
      </w:pPr>
      <w:r>
        <w:rPr>
          <w:rFonts w:hint="eastAsia" w:ascii="宋体" w:hAnsi="宋体"/>
          <w:color w:val="000000" w:themeColor="text1"/>
          <w:szCs w:val="20"/>
          <w14:textFill>
            <w14:solidFill>
              <w14:schemeClr w14:val="tx1"/>
            </w14:solidFill>
          </w14:textFill>
        </w:rPr>
        <w:t>投标人须承担与投标有关的自身的所有费用</w:t>
      </w:r>
      <w:r>
        <w:rPr>
          <w:rFonts w:ascii="宋体" w:hAnsi="宋体"/>
          <w:color w:val="000000" w:themeColor="text1"/>
          <w:szCs w:val="20"/>
          <w14:textFill>
            <w14:solidFill>
              <w14:schemeClr w14:val="tx1"/>
            </w14:solidFill>
          </w14:textFill>
        </w:rPr>
        <w:t>，</w:t>
      </w:r>
      <w:r>
        <w:rPr>
          <w:rFonts w:hint="eastAsia" w:ascii="宋体" w:hAnsi="宋体"/>
          <w:color w:val="000000" w:themeColor="text1"/>
          <w:szCs w:val="20"/>
          <w14:textFill>
            <w14:solidFill>
              <w14:schemeClr w14:val="tx1"/>
            </w14:solidFill>
          </w14:textFill>
        </w:rPr>
        <w:t>包括但不限于本招标文件工本费、投标文件准备的费用等。无论投标结果如何，采购代理机构在任何情况下不承担、不分担任何类似费用。</w:t>
      </w:r>
    </w:p>
    <w:p>
      <w:pPr>
        <w:snapToGrid w:val="0"/>
        <w:spacing w:line="360" w:lineRule="auto"/>
        <w:rPr>
          <w:rFonts w:ascii="宋体" w:hAnsi="宋体"/>
          <w:b/>
          <w:color w:val="000000" w:themeColor="text1"/>
          <w:szCs w:val="20"/>
          <w14:textFill>
            <w14:solidFill>
              <w14:schemeClr w14:val="tx1"/>
            </w14:solidFill>
          </w14:textFill>
        </w:rPr>
      </w:pPr>
    </w:p>
    <w:p>
      <w:pPr>
        <w:numPr>
          <w:ilvl w:val="0"/>
          <w:numId w:val="12"/>
        </w:numPr>
        <w:snapToGrid w:val="0"/>
        <w:spacing w:line="360" w:lineRule="auto"/>
        <w:rPr>
          <w:rFonts w:ascii="宋体" w:hAnsi="宋体"/>
          <w:b/>
          <w:color w:val="000000" w:themeColor="text1"/>
          <w:szCs w:val="20"/>
          <w14:textFill>
            <w14:solidFill>
              <w14:schemeClr w14:val="tx1"/>
            </w14:solidFill>
          </w14:textFill>
        </w:rPr>
      </w:pPr>
      <w:r>
        <w:rPr>
          <w:rFonts w:hint="eastAsia" w:ascii="宋体" w:hAnsi="宋体"/>
          <w:b/>
          <w:color w:val="000000" w:themeColor="text1"/>
          <w:szCs w:val="20"/>
          <w14:textFill>
            <w14:solidFill>
              <w14:schemeClr w14:val="tx1"/>
            </w14:solidFill>
          </w14:textFill>
        </w:rPr>
        <w:t>保证</w:t>
      </w:r>
      <w:bookmarkStart w:id="26" w:name="_Hlt113684504"/>
      <w:bookmarkEnd w:id="26"/>
    </w:p>
    <w:p>
      <w:pPr>
        <w:numPr>
          <w:ilvl w:val="1"/>
          <w:numId w:val="12"/>
        </w:numPr>
        <w:snapToGrid w:val="0"/>
        <w:spacing w:line="360" w:lineRule="auto"/>
        <w:rPr>
          <w:rFonts w:ascii="宋体" w:hAnsi="宋体"/>
          <w:color w:val="000000" w:themeColor="text1"/>
          <w:szCs w:val="20"/>
          <w14:textFill>
            <w14:solidFill>
              <w14:schemeClr w14:val="tx1"/>
            </w14:solidFill>
          </w14:textFill>
        </w:rPr>
      </w:pPr>
      <w:r>
        <w:rPr>
          <w:rFonts w:hint="eastAsia" w:ascii="宋体" w:hAnsi="宋体"/>
          <w:color w:val="000000" w:themeColor="text1"/>
          <w:szCs w:val="20"/>
          <w14:textFill>
            <w14:solidFill>
              <w14:schemeClr w14:val="tx1"/>
            </w14:solidFill>
          </w14:textFill>
        </w:rPr>
        <w:t>投标人应保证所提交给采购代理机构的资料和数据是真实的。</w:t>
      </w:r>
    </w:p>
    <w:p>
      <w:pPr>
        <w:snapToGrid w:val="0"/>
        <w:spacing w:line="360" w:lineRule="auto"/>
        <w:rPr>
          <w:rFonts w:ascii="宋体" w:hAnsi="宋体"/>
          <w:color w:val="000000" w:themeColor="text1"/>
          <w14:textFill>
            <w14:solidFill>
              <w14:schemeClr w14:val="tx1"/>
            </w14:solidFill>
          </w14:textFill>
        </w:rPr>
      </w:pPr>
    </w:p>
    <w:p>
      <w:pPr>
        <w:numPr>
          <w:ilvl w:val="0"/>
          <w:numId w:val="12"/>
        </w:numPr>
        <w:snapToGrid w:val="0"/>
        <w:spacing w:line="360" w:lineRule="auto"/>
        <w:rPr>
          <w:rFonts w:ascii="宋体" w:hAnsi="宋体"/>
          <w:b/>
          <w:color w:val="000000" w:themeColor="text1"/>
          <w:szCs w:val="20"/>
          <w14:textFill>
            <w14:solidFill>
              <w14:schemeClr w14:val="tx1"/>
            </w14:solidFill>
          </w14:textFill>
        </w:rPr>
      </w:pPr>
      <w:r>
        <w:rPr>
          <w:rFonts w:hint="eastAsia" w:ascii="宋体" w:hAnsi="宋体"/>
          <w:b/>
          <w:color w:val="000000" w:themeColor="text1"/>
          <w:szCs w:val="20"/>
          <w14:textFill>
            <w14:solidFill>
              <w14:schemeClr w14:val="tx1"/>
            </w14:solidFill>
          </w14:textFill>
        </w:rPr>
        <w:t>招标文件符号说明</w:t>
      </w:r>
    </w:p>
    <w:p>
      <w:pPr>
        <w:numPr>
          <w:ilvl w:val="1"/>
          <w:numId w:val="12"/>
        </w:numPr>
        <w:snapToGrid w:val="0"/>
        <w:spacing w:line="360" w:lineRule="auto"/>
        <w:rPr>
          <w:rFonts w:ascii="宋体" w:hAnsi="宋体"/>
          <w:color w:val="000000" w:themeColor="text1"/>
          <w:szCs w:val="20"/>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招标文件中，带“★”符号的内容为必须响应条款，偏离将导致废标；带“▲”符号的内容为用户需求重点技术参数，若未能响应，则在评标过程中根据评审内容作扣分处理</w:t>
      </w:r>
      <w:r>
        <w:rPr>
          <w:rFonts w:hint="eastAsia" w:ascii="宋体" w:hAnsi="宋体"/>
          <w:color w:val="000000" w:themeColor="text1"/>
          <w:szCs w:val="20"/>
          <w14:textFill>
            <w14:solidFill>
              <w14:schemeClr w14:val="tx1"/>
            </w14:solidFill>
          </w14:textFill>
        </w:rPr>
        <w:t>。</w:t>
      </w:r>
    </w:p>
    <w:p>
      <w:pPr>
        <w:snapToGrid w:val="0"/>
        <w:spacing w:line="360" w:lineRule="auto"/>
        <w:rPr>
          <w:rFonts w:ascii="宋体" w:hAnsi="宋体"/>
          <w:b/>
          <w:color w:val="000000" w:themeColor="text1"/>
          <w:sz w:val="24"/>
          <w14:textFill>
            <w14:solidFill>
              <w14:schemeClr w14:val="tx1"/>
            </w14:solidFill>
          </w14:textFill>
        </w:rPr>
      </w:pPr>
    </w:p>
    <w:p>
      <w:pPr>
        <w:numPr>
          <w:ilvl w:val="0"/>
          <w:numId w:val="12"/>
        </w:numPr>
        <w:snapToGrid w:val="0"/>
        <w:spacing w:line="360" w:lineRule="auto"/>
        <w:rPr>
          <w:rFonts w:ascii="宋体" w:hAnsi="宋体"/>
          <w:b/>
          <w:color w:val="000000" w:themeColor="text1"/>
          <w:szCs w:val="21"/>
          <w14:textFill>
            <w14:solidFill>
              <w14:schemeClr w14:val="tx1"/>
            </w14:solidFill>
          </w14:textFill>
        </w:rPr>
      </w:pPr>
      <w:bookmarkStart w:id="27" w:name="_Toc368513779"/>
      <w:bookmarkStart w:id="28" w:name="_Toc357161069"/>
      <w:r>
        <w:rPr>
          <w:rFonts w:hint="eastAsia" w:ascii="宋体" w:hAnsi="宋体"/>
          <w:b/>
          <w:bCs/>
          <w:color w:val="000000" w:themeColor="text1"/>
          <w:szCs w:val="21"/>
          <w14:textFill>
            <w14:solidFill>
              <w14:schemeClr w14:val="tx1"/>
            </w14:solidFill>
          </w14:textFill>
        </w:rPr>
        <w:t>对于联合投标的规定</w:t>
      </w:r>
      <w:bookmarkEnd w:id="27"/>
      <w:bookmarkEnd w:id="28"/>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除非投标邀请中另有规定，不接受联合体投标。如果投标邀请中规定允许联合体投标的，则必须满足：</w:t>
      </w:r>
    </w:p>
    <w:p>
      <w:pPr>
        <w:numPr>
          <w:ilvl w:val="1"/>
          <w:numId w:val="12"/>
        </w:num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两个供应商组成一个投标联合体，以一个投标人的身份投标。</w:t>
      </w:r>
    </w:p>
    <w:p>
      <w:pPr>
        <w:numPr>
          <w:ilvl w:val="1"/>
          <w:numId w:val="12"/>
        </w:num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招标人根据招标项目的特殊性规定投标人特定条件的，联合体各方中至少应当有一方符合招标人规定的特定条件。</w:t>
      </w:r>
    </w:p>
    <w:p>
      <w:pPr>
        <w:numPr>
          <w:ilvl w:val="1"/>
          <w:numId w:val="12"/>
        </w:num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合体各方之间应当签订共同投标协议，明确约定联合体各方承担的工作和相应的责任，并将共同投标协议连同投标文件一并提交招标人或招标代理机构。联合体各方签订共同投标协议后，不得再以自己名义单独在同一项目中投标，也不得组成新的联合体参加同一项目投标。</w:t>
      </w:r>
    </w:p>
    <w:p>
      <w:pPr>
        <w:numPr>
          <w:ilvl w:val="1"/>
          <w:numId w:val="12"/>
        </w:num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以联合体形式参加投标的，投标人应提交联合体各方的资格证明文件、共同投标协议并注明主体方及各方拟承担的工作和责任。联合体投标文件由联合体各方或主体方盖章，否则，将导致其投标无效。</w:t>
      </w:r>
    </w:p>
    <w:p>
      <w:pPr>
        <w:numPr>
          <w:ilvl w:val="1"/>
          <w:numId w:val="12"/>
        </w:num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两个以上的自然人、法人或者其他组织组成一个联合体，以一个供应商的身份共同参加政府采购活动的，招标人或者招标代理机构对所有联合体成员进行信用记录查询，联合体成员存在不良信用记录的，视同联合体存在不良信用记录。</w:t>
      </w:r>
    </w:p>
    <w:p>
      <w:pPr>
        <w:numPr>
          <w:ilvl w:val="1"/>
          <w:numId w:val="12"/>
        </w:num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联合体投标的，可以由联合体中的一方或者共同提交投标保证金，以一方名义提交投标保证金的，对联合体各方均具有约束力。</w:t>
      </w:r>
    </w:p>
    <w:p>
      <w:pPr>
        <w:numPr>
          <w:ilvl w:val="1"/>
          <w:numId w:val="12"/>
        </w:num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联合体中标的，联合体各方应当共同与招标人签订合同。</w:t>
      </w:r>
    </w:p>
    <w:p>
      <w:pPr>
        <w:numPr>
          <w:ilvl w:val="1"/>
          <w:numId w:val="12"/>
        </w:num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有关打分内容,联合体任一方符合均可得分。</w:t>
      </w:r>
    </w:p>
    <w:p>
      <w:pPr>
        <w:numPr>
          <w:ilvl w:val="1"/>
          <w:numId w:val="12"/>
        </w:num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若招标文件另有详细规定的遵从其规定。</w:t>
      </w:r>
    </w:p>
    <w:p>
      <w:pPr>
        <w:snapToGrid w:val="0"/>
        <w:spacing w:line="360" w:lineRule="auto"/>
        <w:rPr>
          <w:rFonts w:ascii="宋体" w:hAnsi="宋体"/>
          <w:b/>
          <w:color w:val="000000" w:themeColor="text1"/>
          <w:sz w:val="24"/>
          <w14:textFill>
            <w14:solidFill>
              <w14:schemeClr w14:val="tx1"/>
            </w14:solidFill>
          </w14:textFill>
        </w:rPr>
      </w:pPr>
    </w:p>
    <w:p>
      <w:pPr>
        <w:pStyle w:val="4"/>
        <w:jc w:val="center"/>
        <w:rPr>
          <w:rFonts w:hAnsi="宋体"/>
          <w:b w:val="0"/>
          <w:color w:val="000000" w:themeColor="text1"/>
          <w:sz w:val="24"/>
          <w:szCs w:val="28"/>
          <w14:textFill>
            <w14:solidFill>
              <w14:schemeClr w14:val="tx1"/>
            </w14:solidFill>
          </w14:textFill>
        </w:rPr>
      </w:pPr>
      <w:bookmarkStart w:id="29" w:name="_Hlt87773410"/>
      <w:bookmarkEnd w:id="29"/>
      <w:bookmarkStart w:id="30" w:name="_Toc495977855"/>
      <w:bookmarkStart w:id="31" w:name="_Toc19429"/>
      <w:bookmarkStart w:id="32" w:name="_Toc21613"/>
      <w:bookmarkStart w:id="33" w:name="_Toc28048"/>
      <w:bookmarkStart w:id="34" w:name="_Toc416875933"/>
      <w:bookmarkStart w:id="35" w:name="_Toc5645"/>
      <w:bookmarkStart w:id="36" w:name="_Toc3539"/>
      <w:r>
        <w:rPr>
          <w:rFonts w:hint="eastAsia" w:hAnsi="宋体"/>
          <w:color w:val="000000" w:themeColor="text1"/>
          <w14:textFill>
            <w14:solidFill>
              <w14:schemeClr w14:val="tx1"/>
            </w14:solidFill>
          </w14:textFill>
        </w:rPr>
        <w:t>（二）招标文件</w:t>
      </w:r>
      <w:bookmarkEnd w:id="30"/>
      <w:bookmarkEnd w:id="31"/>
      <w:bookmarkEnd w:id="32"/>
      <w:bookmarkEnd w:id="33"/>
      <w:bookmarkEnd w:id="34"/>
      <w:bookmarkEnd w:id="35"/>
      <w:bookmarkEnd w:id="36"/>
    </w:p>
    <w:p>
      <w:pPr>
        <w:numPr>
          <w:ilvl w:val="0"/>
          <w:numId w:val="12"/>
        </w:numPr>
        <w:snapToGrid w:val="0"/>
        <w:spacing w:line="360" w:lineRule="auto"/>
        <w:rPr>
          <w:rFonts w:ascii="宋体" w:hAnsi="宋体" w:eastAsia="宋体" w:cs="宋体"/>
          <w:b/>
          <w:color w:val="000000" w:themeColor="text1"/>
          <w:szCs w:val="20"/>
          <w14:textFill>
            <w14:solidFill>
              <w14:schemeClr w14:val="tx1"/>
            </w14:solidFill>
          </w14:textFill>
        </w:rPr>
      </w:pPr>
      <w:r>
        <w:rPr>
          <w:rFonts w:hint="eastAsia" w:ascii="宋体" w:hAnsi="宋体" w:eastAsia="宋体" w:cs="宋体"/>
          <w:b/>
          <w:color w:val="000000" w:themeColor="text1"/>
          <w:szCs w:val="20"/>
          <w14:textFill>
            <w14:solidFill>
              <w14:schemeClr w14:val="tx1"/>
            </w14:solidFill>
          </w14:textFill>
        </w:rPr>
        <w:t>招标文件构成</w:t>
      </w:r>
      <w:bookmarkStart w:id="37" w:name="_Hlt509038174"/>
      <w:bookmarkEnd w:id="37"/>
    </w:p>
    <w:p>
      <w:pPr>
        <w:numPr>
          <w:ilvl w:val="1"/>
          <w:numId w:val="12"/>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要求提供的服务、投标过程和合同条件在招标文件中均有说明。招标文件包括：</w:t>
      </w:r>
    </w:p>
    <w:p>
      <w:pPr>
        <w:numPr>
          <w:ilvl w:val="0"/>
          <w:numId w:val="14"/>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投标邀请函</w:t>
      </w:r>
    </w:p>
    <w:p>
      <w:pPr>
        <w:numPr>
          <w:ilvl w:val="0"/>
          <w:numId w:val="14"/>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用户需求</w:t>
      </w:r>
    </w:p>
    <w:p>
      <w:pPr>
        <w:numPr>
          <w:ilvl w:val="0"/>
          <w:numId w:val="14"/>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投标须知</w:t>
      </w:r>
    </w:p>
    <w:p>
      <w:pPr>
        <w:numPr>
          <w:ilvl w:val="0"/>
          <w:numId w:val="14"/>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评标方法、步骤、标准</w:t>
      </w:r>
    </w:p>
    <w:p>
      <w:pPr>
        <w:numPr>
          <w:ilvl w:val="0"/>
          <w:numId w:val="14"/>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拟签订合同文本</w:t>
      </w:r>
    </w:p>
    <w:p>
      <w:pPr>
        <w:numPr>
          <w:ilvl w:val="0"/>
          <w:numId w:val="14"/>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投标</w:t>
      </w:r>
      <w:r>
        <w:rPr>
          <w:rFonts w:hint="eastAsia" w:ascii="宋体" w:hAnsi="宋体" w:eastAsia="宋体" w:cs="宋体"/>
          <w:color w:val="000000" w:themeColor="text1"/>
          <w14:textFill>
            <w14:solidFill>
              <w14:schemeClr w14:val="tx1"/>
            </w14:solidFill>
          </w14:textFill>
        </w:rPr>
        <w:t>文件</w:t>
      </w:r>
      <w:r>
        <w:rPr>
          <w:rFonts w:hint="eastAsia" w:ascii="宋体" w:hAnsi="宋体" w:eastAsia="宋体" w:cs="宋体"/>
          <w:color w:val="000000" w:themeColor="text1"/>
          <w:szCs w:val="20"/>
          <w14:textFill>
            <w14:solidFill>
              <w14:schemeClr w14:val="tx1"/>
            </w14:solidFill>
          </w14:textFill>
        </w:rPr>
        <w:t>格式</w:t>
      </w:r>
    </w:p>
    <w:p>
      <w:pPr>
        <w:numPr>
          <w:ilvl w:val="0"/>
          <w:numId w:val="14"/>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招标过程中发生的澄清、修改和补充文件（如有）</w:t>
      </w:r>
    </w:p>
    <w:p>
      <w:pPr>
        <w:numPr>
          <w:ilvl w:val="1"/>
          <w:numId w:val="12"/>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投标人应认真阅读招标文件中所有的事项、格式等要求。投标人没有按照招标文件要求提交全部资料，或者投标文件没有对招标文件各方面都做出实质性响应是投标人的风险。没有实质性响应招标文件要求的投标文件将被拒绝。</w:t>
      </w:r>
    </w:p>
    <w:p>
      <w:pPr>
        <w:pStyle w:val="35"/>
        <w:snapToGrid w:val="0"/>
        <w:spacing w:before="0" w:after="0" w:line="360" w:lineRule="auto"/>
        <w:rPr>
          <w:rFonts w:eastAsia="宋体" w:cs="宋体"/>
          <w:color w:val="000000" w:themeColor="text1"/>
          <w:spacing w:val="0"/>
          <w:kern w:val="2"/>
          <w:sz w:val="21"/>
          <w:szCs w:val="22"/>
          <w14:textFill>
            <w14:solidFill>
              <w14:schemeClr w14:val="tx1"/>
            </w14:solidFill>
          </w14:textFill>
        </w:rPr>
      </w:pPr>
    </w:p>
    <w:p>
      <w:pPr>
        <w:numPr>
          <w:ilvl w:val="0"/>
          <w:numId w:val="12"/>
        </w:numPr>
        <w:snapToGrid w:val="0"/>
        <w:spacing w:line="360" w:lineRule="auto"/>
        <w:rPr>
          <w:rFonts w:ascii="宋体" w:hAnsi="宋体" w:eastAsia="宋体" w:cs="宋体"/>
          <w:b/>
          <w:color w:val="000000" w:themeColor="text1"/>
          <w:szCs w:val="20"/>
          <w14:textFill>
            <w14:solidFill>
              <w14:schemeClr w14:val="tx1"/>
            </w14:solidFill>
          </w14:textFill>
        </w:rPr>
      </w:pPr>
      <w:r>
        <w:rPr>
          <w:rFonts w:hint="eastAsia" w:ascii="宋体" w:hAnsi="宋体" w:eastAsia="宋体" w:cs="宋体"/>
          <w:b/>
          <w:color w:val="000000" w:themeColor="text1"/>
          <w:szCs w:val="20"/>
          <w14:textFill>
            <w14:solidFill>
              <w14:schemeClr w14:val="tx1"/>
            </w14:solidFill>
          </w14:textFill>
        </w:rPr>
        <w:t>招标文件的更正和修改</w:t>
      </w:r>
    </w:p>
    <w:p>
      <w:pPr>
        <w:numPr>
          <w:ilvl w:val="1"/>
          <w:numId w:val="12"/>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任何要求对招标文件进行澄清的投标人，均应以书面形式通知采购代理机构。采购代理机构对其在投标须知规定的投标</w:t>
      </w:r>
      <w:bookmarkStart w:id="38" w:name="_Hlt109563250"/>
      <w:bookmarkEnd w:id="38"/>
      <w:r>
        <w:rPr>
          <w:rFonts w:hint="eastAsia" w:ascii="宋体" w:hAnsi="宋体" w:eastAsia="宋体" w:cs="宋体"/>
          <w:color w:val="000000" w:themeColor="text1"/>
          <w:szCs w:val="20"/>
          <w14:textFill>
            <w14:solidFill>
              <w14:schemeClr w14:val="tx1"/>
            </w14:solidFill>
          </w14:textFill>
        </w:rPr>
        <w:t>截止时间15日以前收到的对招标文件的澄清要求将以书面形式予以答复，同时将书面答复寄送或传真给每个购买招标文件的投标人（答复中包括所有问题，但不包括问题的来源）。</w:t>
      </w:r>
    </w:p>
    <w:p>
      <w:pPr>
        <w:numPr>
          <w:ilvl w:val="1"/>
          <w:numId w:val="12"/>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招标文件的更正和修改文件将以书面形式通知所有购买招标文件的投标人，该更正和修改文件也是招标文件的组成部分，并对投标人具有约束力。</w:t>
      </w:r>
    </w:p>
    <w:p>
      <w:pPr>
        <w:numPr>
          <w:ilvl w:val="1"/>
          <w:numId w:val="12"/>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投标人在收到采购代理机构发给的任何更正和修改文件时，都应在收到后立即以书面形式向采购代理机构确认。</w:t>
      </w:r>
    </w:p>
    <w:p>
      <w:pPr>
        <w:numPr>
          <w:ilvl w:val="1"/>
          <w:numId w:val="12"/>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投标人如对本项目招标文件的所有内容（包括澄清，以及所有已提供的参考资料和有关附件）存在疑问，请在递交投标文件时间截止前向采购代理机构提出询问或质疑。</w:t>
      </w:r>
    </w:p>
    <w:p>
      <w:pPr>
        <w:numPr>
          <w:ilvl w:val="1"/>
          <w:numId w:val="12"/>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询问或质疑应于递交投标文件截止时间前以书面形式（须加盖投标人公章）向采购代理机构提出并送至东莞市莞城街道兴塘社区东城西路266号城市花园A座办公楼1010号，逾期则视为接受招标文件所有内容。</w:t>
      </w:r>
    </w:p>
    <w:p>
      <w:pPr>
        <w:pStyle w:val="35"/>
        <w:snapToGrid w:val="0"/>
        <w:spacing w:before="0" w:after="0" w:line="360" w:lineRule="auto"/>
        <w:rPr>
          <w:rFonts w:eastAsia="宋体" w:cs="宋体"/>
          <w:bCs/>
          <w:color w:val="000000" w:themeColor="text1"/>
          <w:spacing w:val="0"/>
          <w:kern w:val="2"/>
          <w:sz w:val="21"/>
          <w:szCs w:val="21"/>
          <w14:textFill>
            <w14:solidFill>
              <w14:schemeClr w14:val="tx1"/>
            </w14:solidFill>
          </w14:textFill>
        </w:rPr>
      </w:pPr>
    </w:p>
    <w:p>
      <w:pPr>
        <w:numPr>
          <w:ilvl w:val="0"/>
          <w:numId w:val="12"/>
        </w:numPr>
        <w:snapToGrid w:val="0"/>
        <w:spacing w:line="360" w:lineRule="auto"/>
        <w:rPr>
          <w:rFonts w:ascii="宋体" w:hAnsi="宋体" w:eastAsia="宋体" w:cs="宋体"/>
          <w:b/>
          <w:color w:val="000000" w:themeColor="text1"/>
          <w:szCs w:val="20"/>
          <w14:textFill>
            <w14:solidFill>
              <w14:schemeClr w14:val="tx1"/>
            </w14:solidFill>
          </w14:textFill>
        </w:rPr>
      </w:pPr>
      <w:r>
        <w:rPr>
          <w:rFonts w:hint="eastAsia" w:ascii="宋体" w:hAnsi="宋体" w:eastAsia="宋体" w:cs="宋体"/>
          <w:b/>
          <w:color w:val="000000" w:themeColor="text1"/>
          <w:szCs w:val="20"/>
          <w14:textFill>
            <w14:solidFill>
              <w14:schemeClr w14:val="tx1"/>
            </w14:solidFill>
          </w14:textFill>
        </w:rPr>
        <w:t>招标文件的语言和计量</w:t>
      </w:r>
    </w:p>
    <w:p>
      <w:pPr>
        <w:numPr>
          <w:ilvl w:val="1"/>
          <w:numId w:val="12"/>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招标文件的语言为中文。</w:t>
      </w:r>
    </w:p>
    <w:p>
      <w:pPr>
        <w:numPr>
          <w:ilvl w:val="1"/>
          <w:numId w:val="12"/>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招标文件中的所有计量单位采用中华人民共和国法定的计量单位。</w:t>
      </w:r>
    </w:p>
    <w:p>
      <w:pPr>
        <w:snapToGrid w:val="0"/>
        <w:spacing w:line="360" w:lineRule="auto"/>
        <w:rPr>
          <w:rFonts w:ascii="宋体" w:hAnsi="宋体" w:eastAsia="宋体" w:cs="宋体"/>
          <w:color w:val="000000" w:themeColor="text1"/>
          <w:szCs w:val="20"/>
          <w14:textFill>
            <w14:solidFill>
              <w14:schemeClr w14:val="tx1"/>
            </w14:solidFill>
          </w14:textFill>
        </w:rPr>
      </w:pPr>
    </w:p>
    <w:p>
      <w:pPr>
        <w:numPr>
          <w:ilvl w:val="0"/>
          <w:numId w:val="12"/>
        </w:numPr>
        <w:snapToGrid w:val="0"/>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知识产权</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投标应包括所有应支付的专利权和版权、设计或其他知识产权而需要向其他方支付的版税、使用费等费用。</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就其供应的货物或提供的服务参加投标的，投标人保证对该货物或服务拥有合法的知识产权（包括获得合法的授权），招标人在中华人民共和国使用货物或货物的任何一部分时，用户免受第三方提出侵犯其专利权、商标权或其它知识产权的起诉。</w:t>
      </w:r>
    </w:p>
    <w:p>
      <w:pPr>
        <w:snapToGrid w:val="0"/>
        <w:spacing w:line="360" w:lineRule="auto"/>
        <w:ind w:left="1260"/>
        <w:rPr>
          <w:rFonts w:ascii="宋体" w:hAnsi="宋体"/>
          <w:color w:val="000000" w:themeColor="text1"/>
          <w:sz w:val="24"/>
          <w14:textFill>
            <w14:solidFill>
              <w14:schemeClr w14:val="tx1"/>
            </w14:solidFill>
          </w14:textFill>
        </w:rPr>
      </w:pPr>
    </w:p>
    <w:p>
      <w:pPr>
        <w:pStyle w:val="4"/>
        <w:jc w:val="center"/>
        <w:rPr>
          <w:rFonts w:hAnsi="宋体"/>
          <w:color w:val="000000" w:themeColor="text1"/>
          <w14:textFill>
            <w14:solidFill>
              <w14:schemeClr w14:val="tx1"/>
            </w14:solidFill>
          </w14:textFill>
        </w:rPr>
      </w:pPr>
      <w:bookmarkStart w:id="39" w:name="_Hlt92101695"/>
      <w:bookmarkEnd w:id="39"/>
      <w:bookmarkStart w:id="40" w:name="_Hlt87773413"/>
      <w:bookmarkEnd w:id="40"/>
      <w:bookmarkStart w:id="41" w:name="_Hlt156906046"/>
      <w:bookmarkEnd w:id="41"/>
      <w:bookmarkStart w:id="42" w:name="_Hlt156904743"/>
      <w:bookmarkEnd w:id="42"/>
      <w:bookmarkStart w:id="43" w:name="_Toc495977856"/>
      <w:bookmarkStart w:id="44" w:name="_Toc16760"/>
      <w:bookmarkStart w:id="45" w:name="_Toc8225"/>
      <w:bookmarkStart w:id="46" w:name="_Toc16676"/>
      <w:bookmarkStart w:id="47" w:name="_Toc20269"/>
      <w:bookmarkStart w:id="48" w:name="_Toc416875934"/>
      <w:bookmarkStart w:id="49" w:name="_Toc22557"/>
      <w:r>
        <w:rPr>
          <w:rFonts w:hint="eastAsia" w:hAnsi="宋体"/>
          <w:color w:val="000000" w:themeColor="text1"/>
          <w14:textFill>
            <w14:solidFill>
              <w14:schemeClr w14:val="tx1"/>
            </w14:solidFill>
          </w14:textFill>
        </w:rPr>
        <w:t>（三）投标文件的编制</w:t>
      </w:r>
      <w:bookmarkEnd w:id="43"/>
      <w:bookmarkEnd w:id="44"/>
      <w:bookmarkEnd w:id="45"/>
      <w:bookmarkEnd w:id="46"/>
      <w:bookmarkEnd w:id="47"/>
      <w:bookmarkEnd w:id="48"/>
      <w:bookmarkEnd w:id="49"/>
    </w:p>
    <w:p>
      <w:pPr>
        <w:numPr>
          <w:ilvl w:val="0"/>
          <w:numId w:val="12"/>
        </w:numPr>
        <w:snapToGrid w:val="0"/>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投标文件的语言和计量</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投标人的投标文件以及投标人与采购代理机构就有关投标的所有往来函电均应使用中文，货物的品牌、型号或为表述名称的需要只能用英文或英文字母表达的，可使用英文或英文字母。</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投标文件中的所有计量单位采用中华人民共和国法定的计量单位。</w:t>
      </w:r>
    </w:p>
    <w:p>
      <w:pPr>
        <w:snapToGrid w:val="0"/>
        <w:spacing w:line="360" w:lineRule="auto"/>
        <w:rPr>
          <w:rFonts w:ascii="宋体" w:hAnsi="宋体" w:eastAsia="宋体" w:cs="宋体"/>
          <w:b/>
          <w:color w:val="000000" w:themeColor="text1"/>
          <w:szCs w:val="21"/>
          <w14:textFill>
            <w14:solidFill>
              <w14:schemeClr w14:val="tx1"/>
            </w14:solidFill>
          </w14:textFill>
        </w:rPr>
      </w:pPr>
    </w:p>
    <w:p>
      <w:pPr>
        <w:numPr>
          <w:ilvl w:val="0"/>
          <w:numId w:val="12"/>
        </w:numPr>
        <w:snapToGrid w:val="0"/>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投标文件的构成</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投标人编写的投标文件</w:t>
      </w:r>
      <w:bookmarkStart w:id="50" w:name="_Hlt107921808"/>
      <w:bookmarkEnd w:id="50"/>
      <w:r>
        <w:rPr>
          <w:rFonts w:hint="eastAsia" w:ascii="宋体" w:hAnsi="宋体" w:eastAsia="宋体" w:cs="宋体"/>
          <w:color w:val="000000" w:themeColor="text1"/>
          <w:szCs w:val="21"/>
          <w14:textFill>
            <w14:solidFill>
              <w14:schemeClr w14:val="tx1"/>
            </w14:solidFill>
          </w14:textFill>
        </w:rPr>
        <w:t>应包括但不限于下列部分：</w:t>
      </w:r>
    </w:p>
    <w:p>
      <w:pPr>
        <w:numPr>
          <w:ilvl w:val="0"/>
          <w:numId w:val="15"/>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按投标须知规定填写的投标书。</w:t>
      </w:r>
    </w:p>
    <w:p>
      <w:pPr>
        <w:numPr>
          <w:ilvl w:val="0"/>
          <w:numId w:val="15"/>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按投标须知要求出具的</w:t>
      </w:r>
      <w:bookmarkStart w:id="51" w:name="_Hlt109816630"/>
      <w:bookmarkStart w:id="52" w:name="_Hlt109816602"/>
      <w:r>
        <w:rPr>
          <w:rFonts w:hint="eastAsia" w:ascii="宋体" w:hAnsi="宋体" w:eastAsia="宋体" w:cs="宋体"/>
          <w:color w:val="000000" w:themeColor="text1"/>
          <w:szCs w:val="21"/>
          <w14:textFill>
            <w14:solidFill>
              <w14:schemeClr w14:val="tx1"/>
            </w14:solidFill>
          </w14:textFill>
        </w:rPr>
        <w:t>资格证明文件</w:t>
      </w:r>
      <w:bookmarkEnd w:id="51"/>
      <w:bookmarkEnd w:id="52"/>
      <w:r>
        <w:rPr>
          <w:rFonts w:hint="eastAsia" w:ascii="宋体" w:hAnsi="宋体" w:eastAsia="宋体" w:cs="宋体"/>
          <w:color w:val="000000" w:themeColor="text1"/>
          <w:szCs w:val="21"/>
          <w14:textFill>
            <w14:solidFill>
              <w14:schemeClr w14:val="tx1"/>
            </w14:solidFill>
          </w14:textFill>
        </w:rPr>
        <w:t>。</w:t>
      </w:r>
    </w:p>
    <w:p>
      <w:pPr>
        <w:numPr>
          <w:ilvl w:val="0"/>
          <w:numId w:val="15"/>
        </w:numPr>
        <w:snapToGrid w:val="0"/>
        <w:spacing w:line="360" w:lineRule="auto"/>
        <w:rPr>
          <w:rFonts w:ascii="宋体" w:hAnsi="宋体" w:eastAsia="宋体" w:cs="宋体"/>
          <w:color w:val="000000" w:themeColor="text1"/>
          <w:szCs w:val="21"/>
          <w14:textFill>
            <w14:solidFill>
              <w14:schemeClr w14:val="tx1"/>
            </w14:solidFill>
          </w14:textFill>
        </w:rPr>
      </w:pPr>
      <w:bookmarkStart w:id="53" w:name="_Hlt91673414"/>
      <w:bookmarkEnd w:id="53"/>
      <w:bookmarkStart w:id="54" w:name="_Hlt91673331"/>
      <w:bookmarkEnd w:id="54"/>
      <w:bookmarkStart w:id="55" w:name="_Hlt91673365"/>
      <w:bookmarkEnd w:id="55"/>
      <w:r>
        <w:rPr>
          <w:rFonts w:hint="eastAsia" w:ascii="宋体" w:hAnsi="宋体" w:eastAsia="宋体" w:cs="宋体"/>
          <w:color w:val="000000" w:themeColor="text1"/>
          <w:szCs w:val="21"/>
          <w14:textFill>
            <w14:solidFill>
              <w14:schemeClr w14:val="tx1"/>
            </w14:solidFill>
          </w14:textFill>
        </w:rPr>
        <w:t>对招标文件第二、六部分做出书面响应，包括但不限于供应货物清单、主要货物参数、质量证明等。</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若项目含有多个包组，且投标人对多个包组进行投标的，除特别说明之外，需按包组制作投标文件，分别装订和封装，并在封面、封套上注明包组号。</w:t>
      </w:r>
    </w:p>
    <w:p>
      <w:pPr>
        <w:snapToGrid w:val="0"/>
        <w:spacing w:line="360" w:lineRule="auto"/>
        <w:ind w:left="500" w:hanging="500"/>
        <w:rPr>
          <w:rFonts w:ascii="宋体" w:hAnsi="宋体" w:eastAsia="宋体" w:cs="宋体"/>
          <w:color w:val="000000" w:themeColor="text1"/>
          <w:szCs w:val="21"/>
          <w14:textFill>
            <w14:solidFill>
              <w14:schemeClr w14:val="tx1"/>
            </w14:solidFill>
          </w14:textFill>
        </w:rPr>
      </w:pPr>
      <w:bookmarkStart w:id="56" w:name="_Hlt113684806"/>
      <w:bookmarkEnd w:id="56"/>
    </w:p>
    <w:p>
      <w:pPr>
        <w:numPr>
          <w:ilvl w:val="0"/>
          <w:numId w:val="12"/>
        </w:numPr>
        <w:snapToGrid w:val="0"/>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投标保证金</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投标人应提交金额为</w:t>
      </w:r>
      <w:r>
        <w:rPr>
          <w:rFonts w:hint="eastAsia" w:ascii="宋体" w:hAnsi="宋体" w:eastAsia="宋体" w:cs="宋体"/>
          <w:b/>
          <w:bCs/>
          <w:color w:val="000000" w:themeColor="text1"/>
          <w:spacing w:val="-2"/>
          <w:szCs w:val="21"/>
          <w:u w:val="single"/>
          <w14:textFill>
            <w14:solidFill>
              <w14:schemeClr w14:val="tx1"/>
            </w14:solidFill>
          </w14:textFill>
        </w:rPr>
        <w:t xml:space="preserve">投标须知前附表 </w:t>
      </w:r>
      <w:r>
        <w:rPr>
          <w:rFonts w:hint="eastAsia" w:ascii="宋体" w:hAnsi="宋体" w:eastAsia="宋体" w:cs="宋体"/>
          <w:bCs/>
          <w:color w:val="000000" w:themeColor="text1"/>
          <w:spacing w:val="-2"/>
          <w:szCs w:val="21"/>
          <w14:textFill>
            <w14:solidFill>
              <w14:schemeClr w14:val="tx1"/>
            </w14:solidFill>
          </w14:textFill>
        </w:rPr>
        <w:t>中规定</w:t>
      </w:r>
      <w:r>
        <w:rPr>
          <w:rFonts w:hint="eastAsia" w:ascii="宋体" w:hAnsi="宋体" w:eastAsia="宋体" w:cs="宋体"/>
          <w:color w:val="000000" w:themeColor="text1"/>
          <w:szCs w:val="21"/>
          <w14:textFill>
            <w14:solidFill>
              <w14:schemeClr w14:val="tx1"/>
            </w14:solidFill>
          </w14:textFill>
        </w:rPr>
        <w:t>的投标保证金，并作为其投标文件的一部分。</w:t>
      </w:r>
    </w:p>
    <w:p>
      <w:pPr>
        <w:numPr>
          <w:ilvl w:val="1"/>
          <w:numId w:val="12"/>
        </w:numPr>
        <w:snapToGrid w:val="0"/>
        <w:spacing w:line="360" w:lineRule="auto"/>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u w:val="single"/>
          <w14:textFill>
            <w14:solidFill>
              <w14:schemeClr w14:val="tx1"/>
            </w14:solidFill>
          </w14:textFill>
        </w:rPr>
        <w:t>投标人应按</w:t>
      </w:r>
      <w:r>
        <w:rPr>
          <w:rFonts w:hint="eastAsia" w:ascii="宋体" w:hAnsi="宋体" w:eastAsia="宋体" w:cs="宋体"/>
          <w:b/>
          <w:bCs/>
          <w:color w:val="000000" w:themeColor="text1"/>
          <w:spacing w:val="-2"/>
          <w:szCs w:val="21"/>
          <w:u w:val="single"/>
          <w14:textFill>
            <w14:solidFill>
              <w14:schemeClr w14:val="tx1"/>
            </w14:solidFill>
          </w14:textFill>
        </w:rPr>
        <w:t xml:space="preserve">投标须知前附表 </w:t>
      </w:r>
      <w:r>
        <w:rPr>
          <w:rFonts w:hint="eastAsia" w:ascii="宋体" w:hAnsi="宋体" w:eastAsia="宋体" w:cs="宋体"/>
          <w:color w:val="000000" w:themeColor="text1"/>
          <w:szCs w:val="21"/>
          <w:u w:val="single"/>
          <w14:textFill>
            <w14:solidFill>
              <w14:schemeClr w14:val="tx1"/>
            </w14:solidFill>
          </w14:textFill>
        </w:rPr>
        <w:t>要求提交投标保证金，投标供应商与交款人名称必须一致，非投标供应商缴纳的投标保证金无效。</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开标时,采购代理机构将根据投标保证金账户反映的投标保证金汇入情况,确定投标供应商保证金是否到账。</w:t>
      </w:r>
    </w:p>
    <w:p>
      <w:pPr>
        <w:numPr>
          <w:ilvl w:val="1"/>
          <w:numId w:val="12"/>
        </w:numPr>
        <w:snapToGrid w:val="0"/>
        <w:spacing w:line="360" w:lineRule="auto"/>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u w:val="single"/>
          <w14:textFill>
            <w14:solidFill>
              <w14:schemeClr w14:val="tx1"/>
            </w14:solidFill>
          </w14:textFill>
        </w:rPr>
        <w:t>保证金必须以投标人名义汇入指定账户，保证金以分支机构名义汇入或个人名义汇入或现金存入视为无效，报价当天拒收以现金方式提交的保证金。</w:t>
      </w:r>
    </w:p>
    <w:p>
      <w:pPr>
        <w:numPr>
          <w:ilvl w:val="1"/>
          <w:numId w:val="12"/>
        </w:numPr>
        <w:snapToGrid w:val="0"/>
        <w:spacing w:line="360" w:lineRule="auto"/>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投标人保证金汇错账号的作无效投标处理。</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bookmarkStart w:id="57" w:name="_Hlt107931505"/>
      <w:bookmarkEnd w:id="57"/>
      <w:r>
        <w:rPr>
          <w:rFonts w:hint="eastAsia" w:ascii="宋体" w:hAnsi="宋体" w:eastAsia="宋体" w:cs="宋体"/>
          <w:color w:val="000000" w:themeColor="text1"/>
          <w:szCs w:val="21"/>
          <w14:textFill>
            <w14:solidFill>
              <w14:schemeClr w14:val="tx1"/>
            </w14:solidFill>
          </w14:textFill>
        </w:rPr>
        <w:t>凡没有根据投标须知的规定随附投标保证金的投标文件，将按投标须知的规定视为非响应性投标予以拒绝。</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不中标的投标人的投标保证金，将按投标须知的规定的投标有效期满后三十天内或在发出《招标结果通知书》日后十个工作日内原额退还。</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中标人的投标保证金的退还必须同时满足以下要求：</w:t>
      </w:r>
    </w:p>
    <w:p>
      <w:pPr>
        <w:numPr>
          <w:ilvl w:val="0"/>
          <w:numId w:val="16"/>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中标人支付了中标服务费。</w:t>
      </w:r>
    </w:p>
    <w:p>
      <w:pPr>
        <w:numPr>
          <w:ilvl w:val="0"/>
          <w:numId w:val="16"/>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提交与采购人所签订的本项目政府采购合同。</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在下列任何一种情况下，投标保证金将被没收上缴国库。</w:t>
      </w:r>
    </w:p>
    <w:p>
      <w:pPr>
        <w:numPr>
          <w:ilvl w:val="0"/>
          <w:numId w:val="17"/>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投标人已递交投标文件，并在投标截止时间之后，投标文件有效期满之前，撤回其投标文件。</w:t>
      </w:r>
    </w:p>
    <w:p>
      <w:pPr>
        <w:snapToGrid w:val="0"/>
        <w:spacing w:line="360" w:lineRule="auto"/>
        <w:rPr>
          <w:rFonts w:ascii="宋体" w:hAnsi="宋体" w:eastAsia="宋体" w:cs="宋体"/>
          <w:bCs/>
          <w:color w:val="000000" w:themeColor="text1"/>
          <w:szCs w:val="21"/>
          <w14:textFill>
            <w14:solidFill>
              <w14:schemeClr w14:val="tx1"/>
            </w14:solidFill>
          </w14:textFill>
        </w:rPr>
      </w:pPr>
    </w:p>
    <w:p>
      <w:pPr>
        <w:numPr>
          <w:ilvl w:val="0"/>
          <w:numId w:val="12"/>
        </w:numPr>
        <w:snapToGrid w:val="0"/>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投标有效期</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Cs/>
          <w:color w:val="000000" w:themeColor="text1"/>
          <w:spacing w:val="-2"/>
          <w:szCs w:val="21"/>
          <w14:textFill>
            <w14:solidFill>
              <w14:schemeClr w14:val="tx1"/>
            </w14:solidFill>
          </w14:textFill>
        </w:rPr>
        <w:t>投标应自</w:t>
      </w:r>
      <w:r>
        <w:rPr>
          <w:rFonts w:hint="eastAsia" w:ascii="宋体" w:hAnsi="宋体" w:eastAsia="宋体" w:cs="宋体"/>
          <w:b/>
          <w:bCs/>
          <w:color w:val="000000" w:themeColor="text1"/>
          <w:spacing w:val="-2"/>
          <w:szCs w:val="21"/>
          <w:u w:val="single"/>
          <w14:textFill>
            <w14:solidFill>
              <w14:schemeClr w14:val="tx1"/>
            </w14:solidFill>
          </w14:textFill>
        </w:rPr>
        <w:t xml:space="preserve">投标须知前附表 </w:t>
      </w:r>
      <w:r>
        <w:rPr>
          <w:rFonts w:hint="eastAsia" w:ascii="宋体" w:hAnsi="宋体" w:eastAsia="宋体" w:cs="宋体"/>
          <w:bCs/>
          <w:color w:val="000000" w:themeColor="text1"/>
          <w:spacing w:val="-2"/>
          <w:szCs w:val="21"/>
          <w14:textFill>
            <w14:solidFill>
              <w14:schemeClr w14:val="tx1"/>
            </w14:solidFill>
          </w14:textFill>
        </w:rPr>
        <w:t>中规定的投标文件递交截止时间起，并在</w:t>
      </w:r>
      <w:r>
        <w:rPr>
          <w:rFonts w:hint="eastAsia" w:ascii="宋体" w:hAnsi="宋体" w:eastAsia="宋体" w:cs="宋体"/>
          <w:b/>
          <w:bCs/>
          <w:color w:val="000000" w:themeColor="text1"/>
          <w:spacing w:val="-2"/>
          <w:szCs w:val="21"/>
          <w:u w:val="single"/>
          <w14:textFill>
            <w14:solidFill>
              <w14:schemeClr w14:val="tx1"/>
            </w14:solidFill>
          </w14:textFill>
        </w:rPr>
        <w:t xml:space="preserve">投标须知前附表 </w:t>
      </w:r>
      <w:r>
        <w:rPr>
          <w:rFonts w:hint="eastAsia" w:ascii="宋体" w:hAnsi="宋体" w:eastAsia="宋体" w:cs="宋体"/>
          <w:bCs/>
          <w:color w:val="000000" w:themeColor="text1"/>
          <w:spacing w:val="-2"/>
          <w:szCs w:val="21"/>
          <w14:textFill>
            <w14:solidFill>
              <w14:schemeClr w14:val="tx1"/>
            </w14:solidFill>
          </w14:textFill>
        </w:rPr>
        <w:t>中所述期限内保持有效。投标有效期不足的投标将被视为非实质性响应，视为无效投标</w:t>
      </w:r>
      <w:r>
        <w:rPr>
          <w:rFonts w:hint="eastAsia" w:ascii="宋体" w:hAnsi="宋体" w:eastAsia="宋体" w:cs="宋体"/>
          <w:color w:val="000000" w:themeColor="text1"/>
          <w:szCs w:val="21"/>
          <w14:textFill>
            <w14:solidFill>
              <w14:schemeClr w14:val="tx1"/>
            </w14:solidFill>
          </w14:textFill>
        </w:rPr>
        <w:t>。</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特殊情况下，在原投标有效期截止之前，政府采购代理机构可要求投标人延长投标有效期。这种要求与答复均应以书面形式提交。投标人可拒绝政府采购代理机构的这种要求，其投标保证金将不会被没收，但其投标在原投标有效期期满后将不再有效。同意延长投标有效期的投标人将不会被要求和允许修正其投标，而只会被要求相应地延长其投标保证金的有效期。在这种情况下，本须知有关投标保证金的退还和没收的规定将在延长了的有效期内继续有效</w:t>
      </w:r>
      <w:r>
        <w:rPr>
          <w:rFonts w:hint="eastAsia" w:ascii="宋体" w:hAnsi="宋体" w:eastAsia="宋体" w:cs="宋体"/>
          <w:color w:val="000000" w:themeColor="text1"/>
          <w:szCs w:val="21"/>
          <w14:textFill>
            <w14:solidFill>
              <w14:schemeClr w14:val="tx1"/>
            </w14:solidFill>
          </w14:textFill>
        </w:rPr>
        <w:t>。</w:t>
      </w:r>
    </w:p>
    <w:p>
      <w:pPr>
        <w:snapToGrid w:val="0"/>
        <w:spacing w:line="360" w:lineRule="auto"/>
        <w:rPr>
          <w:rFonts w:ascii="宋体" w:hAnsi="宋体" w:eastAsia="宋体" w:cs="宋体"/>
          <w:color w:val="000000" w:themeColor="text1"/>
          <w:szCs w:val="21"/>
          <w14:textFill>
            <w14:solidFill>
              <w14:schemeClr w14:val="tx1"/>
            </w14:solidFill>
          </w14:textFill>
        </w:rPr>
      </w:pPr>
    </w:p>
    <w:p>
      <w:pPr>
        <w:numPr>
          <w:ilvl w:val="0"/>
          <w:numId w:val="12"/>
        </w:numPr>
        <w:snapToGrid w:val="0"/>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投标文件的式样和签署</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投标文件的式样：投标人应准备一份投标文件正本、电子文件、唱标信封和 投标须知前附表 中规定数目的副本，投标文件的副本可采用正本的复印件。每套投标文件须清楚地标明“正本”或“副本”。若副本与正本不符，以正本为准，装订如下：</w:t>
      </w:r>
    </w:p>
    <w:tbl>
      <w:tblPr>
        <w:tblStyle w:val="20"/>
        <w:tblW w:w="84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525"/>
        <w:gridCol w:w="2550"/>
        <w:gridCol w:w="3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664"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序号</w:t>
            </w:r>
          </w:p>
        </w:tc>
        <w:tc>
          <w:tcPr>
            <w:tcW w:w="1525"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投标文件名称</w:t>
            </w:r>
          </w:p>
        </w:tc>
        <w:tc>
          <w:tcPr>
            <w:tcW w:w="2550"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装订</w:t>
            </w:r>
          </w:p>
        </w:tc>
        <w:tc>
          <w:tcPr>
            <w:tcW w:w="3742"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664"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1525"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唱标信封</w:t>
            </w:r>
          </w:p>
        </w:tc>
        <w:tc>
          <w:tcPr>
            <w:tcW w:w="2550" w:type="dxa"/>
            <w:vMerge w:val="restart"/>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独立装订、合并密封</w:t>
            </w:r>
          </w:p>
        </w:tc>
        <w:tc>
          <w:tcPr>
            <w:tcW w:w="3742" w:type="dxa"/>
            <w:vAlign w:val="center"/>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含开标一览表、投标保证金汇入情况说明、银行汇款凭证等，详见招标文件第六部分“三 唱标信封”之唱标信封内装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4"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1525"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电子文件</w:t>
            </w:r>
          </w:p>
        </w:tc>
        <w:tc>
          <w:tcPr>
            <w:tcW w:w="2550" w:type="dxa"/>
            <w:vMerge w:val="continue"/>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3742" w:type="dxa"/>
            <w:vAlign w:val="center"/>
          </w:tcPr>
          <w:p>
            <w:pPr>
              <w:spacing w:line="360" w:lineRule="auto"/>
              <w:ind w:firstLine="210" w:firstLineChars="10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含价格文件、商务技术文件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4"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p>
        </w:tc>
        <w:tc>
          <w:tcPr>
            <w:tcW w:w="1525"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价格文件</w:t>
            </w:r>
          </w:p>
        </w:tc>
        <w:tc>
          <w:tcPr>
            <w:tcW w:w="2550"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独立装订成册、独立密封</w:t>
            </w:r>
          </w:p>
        </w:tc>
        <w:tc>
          <w:tcPr>
            <w:tcW w:w="3742"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含正、副本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4"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w:t>
            </w:r>
          </w:p>
        </w:tc>
        <w:tc>
          <w:tcPr>
            <w:tcW w:w="1525"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商务技术文件</w:t>
            </w:r>
          </w:p>
        </w:tc>
        <w:tc>
          <w:tcPr>
            <w:tcW w:w="2550"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独立装订成册、独立密封</w:t>
            </w:r>
          </w:p>
        </w:tc>
        <w:tc>
          <w:tcPr>
            <w:tcW w:w="3742"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含正、副本</w:t>
            </w:r>
          </w:p>
        </w:tc>
      </w:tr>
    </w:tbl>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电子文件用MS WORD/EXCE简体中文版制作，内容包括：由投标人自行制作的与正本文件一致的所有文件。电子文件由CD-R光盘或U盘储存，放在唱标信封内</w:t>
      </w:r>
      <w:r>
        <w:rPr>
          <w:rFonts w:hint="eastAsia" w:ascii="宋体" w:hAnsi="宋体" w:eastAsia="宋体" w:cs="宋体"/>
          <w:color w:val="000000" w:themeColor="text1"/>
          <w:szCs w:val="21"/>
          <w14:textFill>
            <w14:solidFill>
              <w14:schemeClr w14:val="tx1"/>
            </w14:solidFill>
          </w14:textFill>
        </w:rPr>
        <w:t xml:space="preserve">。 </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投标文件的签署：</w:t>
      </w:r>
    </w:p>
    <w:p>
      <w:pPr>
        <w:numPr>
          <w:ilvl w:val="0"/>
          <w:numId w:val="18"/>
        </w:numPr>
        <w:snapToGrid w:val="0"/>
        <w:spacing w:line="360" w:lineRule="auto"/>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投标</w:t>
      </w:r>
      <w:r>
        <w:rPr>
          <w:rFonts w:hint="eastAsia" w:ascii="宋体" w:hAnsi="宋体" w:eastAsia="宋体" w:cs="宋体"/>
          <w:color w:val="000000" w:themeColor="text1"/>
          <w:szCs w:val="21"/>
          <w14:textFill>
            <w14:solidFill>
              <w14:schemeClr w14:val="tx1"/>
            </w14:solidFill>
          </w14:textFill>
        </w:rPr>
        <w:t>文件</w:t>
      </w:r>
      <w:r>
        <w:rPr>
          <w:rFonts w:hint="eastAsia" w:ascii="宋体" w:hAnsi="宋体" w:eastAsia="宋体" w:cs="宋体"/>
          <w:bCs/>
          <w:color w:val="000000" w:themeColor="text1"/>
          <w:szCs w:val="21"/>
          <w14:textFill>
            <w14:solidFill>
              <w14:schemeClr w14:val="tx1"/>
            </w14:solidFill>
          </w14:textFill>
        </w:rPr>
        <w:t>的正本需打印或用不褪色墨水书写，投标文件要求签名的由法定代表人或经其正式授权的代表签字，投标文件要求盖章的需加盖投标人公章，副本可由正本复印而成，与正本具有同等法律效力。授权代表须将以书面形式出具的《法定代表人授权委托书》附在投标文件中；</w:t>
      </w:r>
    </w:p>
    <w:p>
      <w:pPr>
        <w:numPr>
          <w:ilvl w:val="0"/>
          <w:numId w:val="18"/>
        </w:numPr>
        <w:snapToGrid w:val="0"/>
        <w:spacing w:line="360" w:lineRule="auto"/>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投标</w:t>
      </w:r>
      <w:r>
        <w:rPr>
          <w:rFonts w:hint="eastAsia" w:ascii="宋体" w:hAnsi="宋体" w:eastAsia="宋体" w:cs="宋体"/>
          <w:color w:val="000000" w:themeColor="text1"/>
          <w:szCs w:val="21"/>
          <w14:textFill>
            <w14:solidFill>
              <w14:schemeClr w14:val="tx1"/>
            </w14:solidFill>
          </w14:textFill>
        </w:rPr>
        <w:t>文件</w:t>
      </w:r>
      <w:r>
        <w:rPr>
          <w:rFonts w:hint="eastAsia" w:ascii="宋体" w:hAnsi="宋体" w:eastAsia="宋体" w:cs="宋体"/>
          <w:bCs/>
          <w:color w:val="000000" w:themeColor="text1"/>
          <w:szCs w:val="21"/>
          <w14:textFill>
            <w14:solidFill>
              <w14:schemeClr w14:val="tx1"/>
            </w14:solidFill>
          </w14:textFill>
        </w:rPr>
        <w:t>中的任何重要的插字、涂改和增删，必须由法定代表人或经其正式授权的代表在旁边签署。</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投标文件的“正本”及所有“副本”的封面及骑缝均须由投标人加盖投标人公章</w:t>
      </w:r>
      <w:r>
        <w:rPr>
          <w:rFonts w:hint="eastAsia" w:ascii="宋体" w:hAnsi="宋体" w:eastAsia="宋体" w:cs="宋体"/>
          <w:color w:val="000000" w:themeColor="text1"/>
          <w:szCs w:val="21"/>
          <w14:textFill>
            <w14:solidFill>
              <w14:schemeClr w14:val="tx1"/>
            </w14:solidFill>
          </w14:textFill>
        </w:rPr>
        <w:t>。</w:t>
      </w:r>
    </w:p>
    <w:p>
      <w:pPr>
        <w:pStyle w:val="35"/>
        <w:snapToGrid w:val="0"/>
        <w:spacing w:before="0" w:after="0" w:line="360" w:lineRule="auto"/>
        <w:rPr>
          <w:rFonts w:eastAsia="宋体" w:cs="宋体"/>
          <w:color w:val="000000" w:themeColor="text1"/>
          <w:spacing w:val="0"/>
          <w:kern w:val="2"/>
          <w:sz w:val="21"/>
          <w:szCs w:val="21"/>
          <w14:textFill>
            <w14:solidFill>
              <w14:schemeClr w14:val="tx1"/>
            </w14:solidFill>
          </w14:textFill>
        </w:rPr>
      </w:pPr>
    </w:p>
    <w:p>
      <w:pPr>
        <w:numPr>
          <w:ilvl w:val="0"/>
          <w:numId w:val="12"/>
        </w:numPr>
        <w:snapToGrid w:val="0"/>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关于报价</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w:t>
      </w:r>
      <w:bookmarkStart w:id="58" w:name="_Hlt109565201"/>
      <w:bookmarkEnd w:id="58"/>
      <w:r>
        <w:rPr>
          <w:rFonts w:hint="eastAsia" w:ascii="宋体" w:hAnsi="宋体" w:eastAsia="宋体" w:cs="宋体"/>
          <w:color w:val="000000" w:themeColor="text1"/>
          <w:szCs w:val="21"/>
          <w14:textFill>
            <w14:solidFill>
              <w14:schemeClr w14:val="tx1"/>
            </w14:solidFill>
          </w14:textFill>
        </w:rPr>
        <w:t>文件中的全部报价，必须用人民币。</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投标人应根据招标文件的要求，参照投标报价表格式填报内容。</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投标报价表上的价格应包含下列内容：</w:t>
      </w:r>
    </w:p>
    <w:p>
      <w:pPr>
        <w:numPr>
          <w:ilvl w:val="0"/>
          <w:numId w:val="19"/>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所提供本项目货物的价格</w:t>
      </w:r>
    </w:p>
    <w:p>
      <w:pPr>
        <w:numPr>
          <w:ilvl w:val="0"/>
          <w:numId w:val="19"/>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投标报价包含履行合同所有相关服务所需的费用</w:t>
      </w:r>
    </w:p>
    <w:p>
      <w:pPr>
        <w:numPr>
          <w:ilvl w:val="0"/>
          <w:numId w:val="19"/>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投标报价均应包含所有的税费</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不能在投标报价之外还有其他费用出现。</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投标人根据投标须知第18.3条的规定将报价分成几部分，只是为了方便采购代理机构、招标人对投标文件进行比较，并不限制招标人以上述任何条件订立合同的权力。</w:t>
      </w:r>
      <w:bookmarkStart w:id="59" w:name="_Hlt115516232"/>
      <w:bookmarkEnd w:id="59"/>
    </w:p>
    <w:p>
      <w:pPr>
        <w:numPr>
          <w:ilvl w:val="1"/>
          <w:numId w:val="12"/>
        </w:numPr>
        <w:snapToGrid w:val="0"/>
        <w:spacing w:line="360" w:lineRule="auto"/>
        <w:rPr>
          <w:rFonts w:ascii="宋体" w:hAnsi="宋体"/>
          <w:color w:val="000000" w:themeColor="text1"/>
          <w:sz w:val="24"/>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投标人不得低于企业自身成本竞投。</w:t>
      </w:r>
      <w:bookmarkStart w:id="60" w:name="_Hlt107977408"/>
      <w:bookmarkEnd w:id="60"/>
    </w:p>
    <w:p>
      <w:pPr>
        <w:pStyle w:val="35"/>
        <w:snapToGrid w:val="0"/>
        <w:spacing w:before="0" w:after="0" w:line="360" w:lineRule="auto"/>
        <w:rPr>
          <w:color w:val="000000" w:themeColor="text1"/>
          <w:spacing w:val="0"/>
          <w:kern w:val="2"/>
          <w:szCs w:val="24"/>
          <w14:textFill>
            <w14:solidFill>
              <w14:schemeClr w14:val="tx1"/>
            </w14:solidFill>
          </w14:textFill>
        </w:rPr>
      </w:pPr>
    </w:p>
    <w:p>
      <w:pPr>
        <w:pStyle w:val="4"/>
        <w:jc w:val="center"/>
        <w:rPr>
          <w:rFonts w:hAnsi="宋体"/>
          <w:color w:val="000000" w:themeColor="text1"/>
          <w14:textFill>
            <w14:solidFill>
              <w14:schemeClr w14:val="tx1"/>
            </w14:solidFill>
          </w14:textFill>
        </w:rPr>
      </w:pPr>
      <w:bookmarkStart w:id="61" w:name="_Hlt87773418"/>
      <w:bookmarkEnd w:id="61"/>
      <w:bookmarkStart w:id="62" w:name="_Hlt87773614"/>
      <w:bookmarkEnd w:id="62"/>
      <w:bookmarkStart w:id="63" w:name="_Toc23494"/>
      <w:bookmarkStart w:id="64" w:name="_Toc416875935"/>
      <w:bookmarkStart w:id="65" w:name="_Toc17677"/>
      <w:bookmarkStart w:id="66" w:name="_Toc495977857"/>
      <w:bookmarkStart w:id="67" w:name="_Toc24206"/>
      <w:bookmarkStart w:id="68" w:name="_Toc18279"/>
      <w:bookmarkStart w:id="69" w:name="_Toc20471"/>
      <w:r>
        <w:rPr>
          <w:rFonts w:hint="eastAsia" w:hAnsi="宋体"/>
          <w:color w:val="000000" w:themeColor="text1"/>
          <w14:textFill>
            <w14:solidFill>
              <w14:schemeClr w14:val="tx1"/>
            </w14:solidFill>
          </w14:textFill>
        </w:rPr>
        <w:t>（四）投标文件的递交</w:t>
      </w:r>
      <w:bookmarkEnd w:id="63"/>
      <w:bookmarkEnd w:id="64"/>
      <w:bookmarkEnd w:id="65"/>
      <w:bookmarkEnd w:id="66"/>
      <w:bookmarkEnd w:id="67"/>
      <w:bookmarkEnd w:id="68"/>
      <w:bookmarkEnd w:id="69"/>
    </w:p>
    <w:p>
      <w:pPr>
        <w:numPr>
          <w:ilvl w:val="0"/>
          <w:numId w:val="12"/>
        </w:numPr>
        <w:snapToGrid w:val="0"/>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b/>
          <w:color w:val="000000" w:themeColor="text1"/>
          <w:sz w:val="24"/>
          <w14:textFill>
            <w14:solidFill>
              <w14:schemeClr w14:val="tx1"/>
            </w14:solidFill>
          </w14:textFill>
        </w:rPr>
        <w:t>投</w:t>
      </w:r>
      <w:r>
        <w:rPr>
          <w:rFonts w:hint="eastAsia" w:ascii="宋体" w:hAnsi="宋体" w:eastAsia="宋体" w:cs="宋体"/>
          <w:b/>
          <w:color w:val="000000" w:themeColor="text1"/>
          <w:szCs w:val="21"/>
          <w14:textFill>
            <w14:solidFill>
              <w14:schemeClr w14:val="tx1"/>
            </w14:solidFill>
          </w14:textFill>
        </w:rPr>
        <w:t>标文件的密封和标记</w:t>
      </w:r>
    </w:p>
    <w:p>
      <w:pPr>
        <w:numPr>
          <w:ilvl w:val="1"/>
          <w:numId w:val="12"/>
        </w:numPr>
        <w:snapToGrid w:val="0"/>
        <w:spacing w:line="360" w:lineRule="auto"/>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u w:val="single"/>
          <w14:textFill>
            <w14:solidFill>
              <w14:schemeClr w14:val="tx1"/>
            </w14:solidFill>
          </w14:textFill>
        </w:rPr>
        <w:t>投标人应将投标文件密封，并在封套上标明“唱标信封”、“价格文件”、“商务技术文件”、“正本”、“副本”字样，在封口处加盖公章。电子文件随唱标信封提交。</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封套上应注明：</w:t>
      </w:r>
    </w:p>
    <w:p>
      <w:pPr>
        <w:spacing w:line="360" w:lineRule="auto"/>
        <w:ind w:left="1236"/>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“收件人：广东旭腾项目管理有限公司</w:t>
      </w:r>
    </w:p>
    <w:p>
      <w:pPr>
        <w:spacing w:line="360" w:lineRule="auto"/>
        <w:ind w:left="1236"/>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项目名称：</w:t>
      </w:r>
      <w:r>
        <w:rPr>
          <w:rFonts w:hint="eastAsia" w:ascii="宋体" w:hAnsi="宋体" w:eastAsia="宋体" w:cs="宋体"/>
          <w:color w:val="000000" w:themeColor="text1"/>
          <w:szCs w:val="21"/>
          <w:lang w:eastAsia="zh-CN"/>
          <w14:textFill>
            <w14:solidFill>
              <w14:schemeClr w14:val="tx1"/>
            </w14:solidFill>
          </w14:textFill>
        </w:rPr>
        <w:t>校园网络及监控、广播系统升级改造项目</w:t>
      </w:r>
    </w:p>
    <w:p>
      <w:pPr>
        <w:spacing w:line="360" w:lineRule="auto"/>
        <w:ind w:left="1236"/>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（唱标信封/商务技术文件/价格文件）</w:t>
      </w:r>
    </w:p>
    <w:p>
      <w:pPr>
        <w:spacing w:line="360" w:lineRule="auto"/>
        <w:ind w:left="1236"/>
        <w:rPr>
          <w:rFonts w:hint="eastAsia" w:ascii="宋体" w:hAnsi="宋体" w:eastAsia="宋体" w:cs="宋体"/>
          <w:color w:val="000000" w:themeColor="text1"/>
          <w:szCs w:val="21"/>
          <w:u w:val="single"/>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编号:</w:t>
      </w:r>
      <w:r>
        <w:rPr>
          <w:rFonts w:hint="eastAsia" w:ascii="宋体" w:hAnsi="宋体" w:eastAsia="宋体" w:cs="宋体"/>
          <w:color w:val="000000" w:themeColor="text1"/>
          <w:szCs w:val="21"/>
          <w:lang w:eastAsia="zh-CN"/>
          <w14:textFill>
            <w14:solidFill>
              <w14:schemeClr w14:val="tx1"/>
            </w14:solidFill>
          </w14:textFill>
        </w:rPr>
        <w:t>441900-201905-0003002072-0002</w:t>
      </w:r>
    </w:p>
    <w:p>
      <w:pPr>
        <w:spacing w:line="360" w:lineRule="auto"/>
        <w:ind w:left="1236"/>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在规定的开封时间之前不得启封”的字样。</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封套上应写明投标人名称和地址，以便如果其投标文件被宣布为“迟交”时，能原封退回。</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bookmarkStart w:id="70" w:name="_Hlt107978844"/>
      <w:bookmarkEnd w:id="70"/>
      <w:r>
        <w:rPr>
          <w:rFonts w:hint="eastAsia" w:ascii="宋体" w:hAnsi="宋体" w:eastAsia="宋体" w:cs="宋体"/>
          <w:color w:val="000000" w:themeColor="text1"/>
          <w:szCs w:val="21"/>
          <w14:textFill>
            <w14:solidFill>
              <w14:schemeClr w14:val="tx1"/>
            </w14:solidFill>
          </w14:textFill>
        </w:rPr>
        <w:t>如果封套未按投标须知要求密封和加写标记，采购代理机构对误投或过早启封概不负责。</w:t>
      </w:r>
    </w:p>
    <w:p>
      <w:pPr>
        <w:pStyle w:val="35"/>
        <w:snapToGrid w:val="0"/>
        <w:spacing w:before="0" w:after="0" w:line="360" w:lineRule="auto"/>
        <w:rPr>
          <w:rFonts w:eastAsia="宋体" w:cs="宋体"/>
          <w:color w:val="000000" w:themeColor="text1"/>
          <w:spacing w:val="0"/>
          <w:kern w:val="2"/>
          <w:sz w:val="21"/>
          <w:szCs w:val="21"/>
          <w14:textFill>
            <w14:solidFill>
              <w14:schemeClr w14:val="tx1"/>
            </w14:solidFill>
          </w14:textFill>
        </w:rPr>
      </w:pPr>
      <w:bookmarkStart w:id="71" w:name="_Hlt107980146"/>
      <w:bookmarkEnd w:id="71"/>
    </w:p>
    <w:p>
      <w:pPr>
        <w:numPr>
          <w:ilvl w:val="0"/>
          <w:numId w:val="12"/>
        </w:numPr>
        <w:snapToGrid w:val="0"/>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投标截止时间</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本次投标的截止时间：见招标文件“投标邀请函”。</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本次投标的投标文件递交时间：见招标文件“投标邀请函”。采购代理机构收到投标文件的时间不得迟于规定的截止时间。</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投标人务必于投标截止时间前，将投标文件的正本和所有副本按“投标邀请函”要求送达递交投标文件地点，交于收件人：</w:t>
      </w:r>
      <w:bookmarkStart w:id="72" w:name="_Hlt107980738"/>
      <w:bookmarkEnd w:id="72"/>
      <w:r>
        <w:rPr>
          <w:rFonts w:hint="eastAsia" w:ascii="宋体" w:hAnsi="宋体" w:eastAsia="宋体" w:cs="宋体"/>
          <w:color w:val="000000" w:themeColor="text1"/>
          <w:szCs w:val="21"/>
          <w14:textFill>
            <w14:solidFill>
              <w14:schemeClr w14:val="tx1"/>
            </w14:solidFill>
          </w14:textFill>
        </w:rPr>
        <w:t>广东旭腾项目管理有限公司。</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在推迟了投标截止时间的情况下，采购代理机构、招标人和投标人受报价截止时间制约的所有权利和义务均应延长至新的截止时间。</w:t>
      </w:r>
    </w:p>
    <w:p>
      <w:pPr>
        <w:snapToGrid w:val="0"/>
        <w:spacing w:line="360" w:lineRule="auto"/>
        <w:rPr>
          <w:rFonts w:ascii="宋体" w:hAnsi="宋体" w:eastAsia="宋体" w:cs="宋体"/>
          <w:color w:val="000000" w:themeColor="text1"/>
          <w:szCs w:val="21"/>
          <w14:textFill>
            <w14:solidFill>
              <w14:schemeClr w14:val="tx1"/>
            </w14:solidFill>
          </w14:textFill>
        </w:rPr>
      </w:pPr>
    </w:p>
    <w:p>
      <w:pPr>
        <w:numPr>
          <w:ilvl w:val="0"/>
          <w:numId w:val="12"/>
        </w:numPr>
        <w:snapToGrid w:val="0"/>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迟交的投标文件</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Cs/>
          <w:color w:val="000000" w:themeColor="text1"/>
          <w:kern w:val="28"/>
          <w:szCs w:val="21"/>
          <w14:textFill>
            <w14:solidFill>
              <w14:schemeClr w14:val="tx1"/>
            </w14:solidFill>
          </w14:textFill>
        </w:rPr>
        <w:t>采购代理机构</w:t>
      </w:r>
      <w:r>
        <w:rPr>
          <w:rFonts w:hint="eastAsia" w:ascii="宋体" w:hAnsi="宋体" w:eastAsia="宋体" w:cs="宋体"/>
          <w:color w:val="000000" w:themeColor="text1"/>
          <w:szCs w:val="21"/>
          <w14:textFill>
            <w14:solidFill>
              <w14:schemeClr w14:val="tx1"/>
            </w14:solidFill>
          </w14:textFill>
        </w:rPr>
        <w:t>将拒绝并原封退回在其规定的投标截止时刻后收到的任何投标文件。</w:t>
      </w:r>
    </w:p>
    <w:p>
      <w:pPr>
        <w:snapToGrid w:val="0"/>
        <w:spacing w:line="360" w:lineRule="auto"/>
        <w:rPr>
          <w:rFonts w:ascii="宋体" w:hAnsi="宋体" w:eastAsia="宋体" w:cs="宋体"/>
          <w:color w:val="000000" w:themeColor="text1"/>
          <w:szCs w:val="21"/>
          <w14:textFill>
            <w14:solidFill>
              <w14:schemeClr w14:val="tx1"/>
            </w14:solidFill>
          </w14:textFill>
        </w:rPr>
      </w:pPr>
    </w:p>
    <w:p>
      <w:pPr>
        <w:numPr>
          <w:ilvl w:val="0"/>
          <w:numId w:val="12"/>
        </w:numPr>
        <w:snapToGrid w:val="0"/>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投标文件的修改与撤回</w:t>
      </w:r>
    </w:p>
    <w:p>
      <w:pPr>
        <w:numPr>
          <w:ilvl w:val="1"/>
          <w:numId w:val="12"/>
        </w:numPr>
        <w:snapToGrid w:val="0"/>
        <w:spacing w:line="360" w:lineRule="auto"/>
        <w:rPr>
          <w:rFonts w:ascii="宋体" w:hAnsi="宋体" w:eastAsia="宋体" w:cs="宋体"/>
          <w:bCs/>
          <w:color w:val="000000" w:themeColor="text1"/>
          <w:kern w:val="28"/>
          <w:szCs w:val="21"/>
          <w14:textFill>
            <w14:solidFill>
              <w14:schemeClr w14:val="tx1"/>
            </w14:solidFill>
          </w14:textFill>
        </w:rPr>
      </w:pPr>
      <w:r>
        <w:rPr>
          <w:rFonts w:hint="eastAsia" w:ascii="宋体" w:hAnsi="宋体" w:eastAsia="宋体" w:cs="宋体"/>
          <w:bCs/>
          <w:color w:val="000000" w:themeColor="text1"/>
          <w:kern w:val="28"/>
          <w:szCs w:val="21"/>
          <w14:textFill>
            <w14:solidFill>
              <w14:schemeClr w14:val="tx1"/>
            </w14:solidFill>
          </w14:textFill>
        </w:rPr>
        <w:t>投标人在递交投标文件后，可以修改或撤回其投标文件，但应保证采购代理机构在规定的投标截止时间之前，收到这些投标文件。</w:t>
      </w:r>
    </w:p>
    <w:p>
      <w:pPr>
        <w:numPr>
          <w:ilvl w:val="1"/>
          <w:numId w:val="12"/>
        </w:numPr>
        <w:snapToGrid w:val="0"/>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w:t>
      </w:r>
      <w:r>
        <w:rPr>
          <w:rFonts w:hint="eastAsia" w:ascii="宋体" w:hAnsi="宋体" w:eastAsia="宋体" w:cs="宋体"/>
          <w:bCs/>
          <w:color w:val="000000" w:themeColor="text1"/>
          <w:kern w:val="28"/>
          <w:szCs w:val="21"/>
          <w14:textFill>
            <w14:solidFill>
              <w14:schemeClr w14:val="tx1"/>
            </w14:solidFill>
          </w14:textFill>
        </w:rPr>
        <w:t>有效期内，投标人不得对其投标文件做任何修改亦不得撤回其投标文件。</w:t>
      </w:r>
    </w:p>
    <w:p>
      <w:pPr>
        <w:pStyle w:val="4"/>
        <w:jc w:val="center"/>
        <w:rPr>
          <w:rFonts w:hAnsi="宋体"/>
          <w:color w:val="000000" w:themeColor="text1"/>
          <w14:textFill>
            <w14:solidFill>
              <w14:schemeClr w14:val="tx1"/>
            </w14:solidFill>
          </w14:textFill>
        </w:rPr>
      </w:pPr>
      <w:bookmarkStart w:id="73" w:name="_Toc17274"/>
      <w:bookmarkStart w:id="74" w:name="_Toc23672"/>
      <w:bookmarkStart w:id="75" w:name="_Toc14474"/>
      <w:bookmarkStart w:id="76" w:name="_Toc20552"/>
      <w:bookmarkStart w:id="77" w:name="_Toc31675"/>
      <w:r>
        <w:rPr>
          <w:rFonts w:hint="eastAsia" w:hAnsi="宋体"/>
          <w:color w:val="000000" w:themeColor="text1"/>
          <w14:textFill>
            <w14:solidFill>
              <w14:schemeClr w14:val="tx1"/>
            </w14:solidFill>
          </w14:textFill>
        </w:rPr>
        <w:t>（五）关于开标</w:t>
      </w:r>
      <w:bookmarkEnd w:id="73"/>
      <w:bookmarkEnd w:id="74"/>
      <w:bookmarkEnd w:id="75"/>
      <w:bookmarkEnd w:id="76"/>
      <w:bookmarkEnd w:id="77"/>
    </w:p>
    <w:p>
      <w:pPr>
        <w:numPr>
          <w:ilvl w:val="0"/>
          <w:numId w:val="12"/>
        </w:numPr>
        <w:snapToGrid w:val="0"/>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开标</w:t>
      </w:r>
    </w:p>
    <w:p>
      <w:pPr>
        <w:numPr>
          <w:ilvl w:val="1"/>
          <w:numId w:val="12"/>
        </w:numPr>
        <w:snapToGrid w:val="0"/>
        <w:spacing w:line="360" w:lineRule="auto"/>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采购</w:t>
      </w:r>
      <w:r>
        <w:rPr>
          <w:rFonts w:hint="eastAsia" w:ascii="宋体" w:hAnsi="宋体" w:eastAsia="宋体" w:cs="宋体"/>
          <w:bCs/>
          <w:color w:val="000000" w:themeColor="text1"/>
          <w:kern w:val="28"/>
          <w:szCs w:val="20"/>
          <w14:textFill>
            <w14:solidFill>
              <w14:schemeClr w14:val="tx1"/>
            </w14:solidFill>
          </w14:textFill>
        </w:rPr>
        <w:t>代理</w:t>
      </w:r>
      <w:r>
        <w:rPr>
          <w:rFonts w:hint="eastAsia" w:ascii="宋体" w:hAnsi="宋体" w:eastAsia="宋体" w:cs="宋体"/>
          <w:bCs/>
          <w:color w:val="000000" w:themeColor="text1"/>
          <w:szCs w:val="21"/>
          <w14:textFill>
            <w14:solidFill>
              <w14:schemeClr w14:val="tx1"/>
            </w14:solidFill>
          </w14:textFill>
        </w:rPr>
        <w:t>机构按</w:t>
      </w:r>
      <w:r>
        <w:rPr>
          <w:rFonts w:hint="eastAsia" w:ascii="宋体" w:hAnsi="宋体" w:eastAsia="宋体" w:cs="宋体"/>
          <w:b/>
          <w:bCs/>
          <w:color w:val="000000" w:themeColor="text1"/>
          <w:szCs w:val="21"/>
          <w:u w:val="single"/>
          <w14:textFill>
            <w14:solidFill>
              <w14:schemeClr w14:val="tx1"/>
            </w14:solidFill>
          </w14:textFill>
        </w:rPr>
        <w:t>投标邀请函</w:t>
      </w:r>
      <w:r>
        <w:rPr>
          <w:rFonts w:hint="eastAsia" w:ascii="宋体" w:hAnsi="宋体" w:eastAsia="宋体" w:cs="宋体"/>
          <w:bCs/>
          <w:color w:val="000000" w:themeColor="text1"/>
          <w:szCs w:val="21"/>
          <w14:textFill>
            <w14:solidFill>
              <w14:schemeClr w14:val="tx1"/>
            </w14:solidFill>
          </w14:textFill>
        </w:rPr>
        <w:t>中规定的日期、时间和地点组织公开开标。开标时邀请所有投标人代表参加。参加开标的法定代表人或其授权代表携带有效身份证签名报到以证明其出席。</w:t>
      </w:r>
    </w:p>
    <w:p>
      <w:pPr>
        <w:numPr>
          <w:ilvl w:val="1"/>
          <w:numId w:val="12"/>
        </w:numPr>
        <w:snapToGrid w:val="0"/>
        <w:spacing w:line="360" w:lineRule="auto"/>
        <w:rPr>
          <w:rFonts w:ascii="宋体" w:hAnsi="宋体" w:eastAsia="宋体" w:cs="宋体"/>
          <w:bCs/>
          <w:color w:val="000000" w:themeColor="text1"/>
          <w:kern w:val="28"/>
          <w:szCs w:val="20"/>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开标</w:t>
      </w:r>
      <w:r>
        <w:rPr>
          <w:rFonts w:hint="eastAsia" w:ascii="宋体" w:hAnsi="宋体" w:eastAsia="宋体" w:cs="宋体"/>
          <w:bCs/>
          <w:color w:val="000000" w:themeColor="text1"/>
          <w:kern w:val="28"/>
          <w:szCs w:val="20"/>
          <w14:textFill>
            <w14:solidFill>
              <w14:schemeClr w14:val="tx1"/>
            </w14:solidFill>
          </w14:textFill>
        </w:rPr>
        <w:t>由采购代理机构主持，邀请投标人参加。评标委员会成员不得参加开标活动。</w:t>
      </w:r>
    </w:p>
    <w:p>
      <w:pPr>
        <w:numPr>
          <w:ilvl w:val="1"/>
          <w:numId w:val="12"/>
        </w:numPr>
        <w:snapToGrid w:val="0"/>
        <w:spacing w:line="360" w:lineRule="auto"/>
        <w:rPr>
          <w:rFonts w:ascii="宋体" w:hAnsi="宋体" w:eastAsia="宋体" w:cs="宋体"/>
          <w:bCs/>
          <w:color w:val="000000" w:themeColor="text1"/>
          <w:kern w:val="28"/>
          <w:szCs w:val="20"/>
          <w14:textFill>
            <w14:solidFill>
              <w14:schemeClr w14:val="tx1"/>
            </w14:solidFill>
          </w14:textFill>
        </w:rPr>
      </w:pPr>
      <w:r>
        <w:rPr>
          <w:rFonts w:hint="eastAsia" w:ascii="宋体" w:hAnsi="宋体" w:eastAsia="宋体" w:cs="宋体"/>
          <w:bCs/>
          <w:color w:val="000000" w:themeColor="text1"/>
          <w:kern w:val="28"/>
          <w:szCs w:val="20"/>
          <w14:textFill>
            <w14:solidFill>
              <w14:schemeClr w14:val="tx1"/>
            </w14:solidFill>
          </w14:textFill>
        </w:rPr>
        <w:t>投标人不足3家的，不得开标。</w:t>
      </w:r>
    </w:p>
    <w:p>
      <w:pPr>
        <w:numPr>
          <w:ilvl w:val="1"/>
          <w:numId w:val="12"/>
        </w:numPr>
        <w:snapToGrid w:val="0"/>
        <w:spacing w:line="360" w:lineRule="auto"/>
        <w:rPr>
          <w:rFonts w:ascii="宋体" w:hAnsi="宋体" w:eastAsia="宋体" w:cs="宋体"/>
          <w:bCs/>
          <w:color w:val="000000" w:themeColor="text1"/>
          <w:kern w:val="28"/>
          <w:szCs w:val="20"/>
          <w14:textFill>
            <w14:solidFill>
              <w14:schemeClr w14:val="tx1"/>
            </w14:solidFill>
          </w14:textFill>
        </w:rPr>
      </w:pPr>
      <w:r>
        <w:rPr>
          <w:rFonts w:hint="eastAsia" w:ascii="宋体" w:hAnsi="宋体" w:eastAsia="宋体" w:cs="宋体"/>
          <w:bCs/>
          <w:color w:val="000000" w:themeColor="text1"/>
          <w:kern w:val="28"/>
          <w:szCs w:val="20"/>
          <w14:textFill>
            <w14:solidFill>
              <w14:schemeClr w14:val="tx1"/>
            </w14:solidFill>
          </w14:textFill>
        </w:rPr>
        <w:t>开标时，由投标人或其推选的代表检查投标文件的密封情况；经确认无误后，由采购人或采购代理机构工作人员当众拆封，宣布投标人名称、投标价格和招标文件规定的需要宣布的其他内容。</w:t>
      </w:r>
    </w:p>
    <w:p>
      <w:pPr>
        <w:numPr>
          <w:ilvl w:val="1"/>
          <w:numId w:val="12"/>
        </w:numPr>
        <w:snapToGrid w:val="0"/>
        <w:spacing w:line="360" w:lineRule="auto"/>
        <w:rPr>
          <w:rFonts w:ascii="宋体" w:hAnsi="宋体" w:eastAsia="宋体" w:cs="宋体"/>
          <w:bCs/>
          <w:color w:val="000000" w:themeColor="text1"/>
          <w:kern w:val="28"/>
          <w:szCs w:val="20"/>
          <w14:textFill>
            <w14:solidFill>
              <w14:schemeClr w14:val="tx1"/>
            </w14:solidFill>
          </w14:textFill>
        </w:rPr>
      </w:pPr>
      <w:r>
        <w:rPr>
          <w:rFonts w:hint="eastAsia" w:ascii="宋体" w:hAnsi="宋体" w:eastAsia="宋体" w:cs="宋体"/>
          <w:bCs/>
          <w:color w:val="000000" w:themeColor="text1"/>
          <w:kern w:val="28"/>
          <w:szCs w:val="20"/>
          <w14:textFill>
            <w14:solidFill>
              <w14:schemeClr w14:val="tx1"/>
            </w14:solidFill>
          </w14:textFill>
        </w:rPr>
        <w:t>投标人代表对开标过程和开标记录有疑义，以及认为采购人和采购代理机构相关工作人员有需要回避的情形的，应当场提出询问或者回避申请。</w:t>
      </w:r>
    </w:p>
    <w:p>
      <w:pPr>
        <w:numPr>
          <w:ilvl w:val="1"/>
          <w:numId w:val="12"/>
        </w:numPr>
        <w:snapToGrid w:val="0"/>
        <w:spacing w:line="360" w:lineRule="auto"/>
        <w:rPr>
          <w:rFonts w:ascii="宋体" w:hAnsi="宋体" w:eastAsia="宋体" w:cs="宋体"/>
          <w:bCs/>
          <w:color w:val="000000" w:themeColor="text1"/>
          <w:kern w:val="28"/>
          <w:szCs w:val="20"/>
          <w14:textFill>
            <w14:solidFill>
              <w14:schemeClr w14:val="tx1"/>
            </w14:solidFill>
          </w14:textFill>
        </w:rPr>
      </w:pPr>
      <w:r>
        <w:rPr>
          <w:rFonts w:hint="eastAsia" w:ascii="宋体" w:hAnsi="宋体" w:eastAsia="宋体" w:cs="宋体"/>
          <w:bCs/>
          <w:color w:val="000000" w:themeColor="text1"/>
          <w:kern w:val="28"/>
          <w:szCs w:val="20"/>
          <w14:textFill>
            <w14:solidFill>
              <w14:schemeClr w14:val="tx1"/>
            </w14:solidFill>
          </w14:textFill>
        </w:rPr>
        <w:t>投标人未参加开标的，视同认可开标结果。</w:t>
      </w:r>
    </w:p>
    <w:p>
      <w:pPr>
        <w:numPr>
          <w:ilvl w:val="1"/>
          <w:numId w:val="12"/>
        </w:numPr>
        <w:snapToGrid w:val="0"/>
        <w:spacing w:line="360" w:lineRule="auto"/>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kern w:val="28"/>
          <w:szCs w:val="20"/>
          <w14:textFill>
            <w14:solidFill>
              <w14:schemeClr w14:val="tx1"/>
            </w14:solidFill>
          </w14:textFill>
        </w:rPr>
        <w:t>采购</w:t>
      </w:r>
      <w:r>
        <w:rPr>
          <w:rFonts w:hint="eastAsia" w:ascii="宋体" w:hAnsi="宋体" w:eastAsia="宋体" w:cs="宋体"/>
          <w:bCs/>
          <w:color w:val="000000" w:themeColor="text1"/>
          <w:szCs w:val="21"/>
          <w14:textFill>
            <w14:solidFill>
              <w14:schemeClr w14:val="tx1"/>
            </w14:solidFill>
          </w14:textFill>
        </w:rPr>
        <w:t>代理机构将做开标记录，开标记录由投标人代表和有关人员共同签字确认。</w:t>
      </w:r>
    </w:p>
    <w:p>
      <w:pPr>
        <w:snapToGrid w:val="0"/>
        <w:spacing w:line="360" w:lineRule="auto"/>
        <w:ind w:left="567"/>
        <w:rPr>
          <w:rFonts w:ascii="宋体" w:hAnsi="宋体"/>
          <w:b/>
          <w:color w:val="000000" w:themeColor="text1"/>
          <w:sz w:val="24"/>
          <w14:textFill>
            <w14:solidFill>
              <w14:schemeClr w14:val="tx1"/>
            </w14:solidFill>
          </w14:textFill>
        </w:rPr>
      </w:pPr>
    </w:p>
    <w:p>
      <w:pPr>
        <w:pStyle w:val="4"/>
        <w:jc w:val="center"/>
        <w:rPr>
          <w:rFonts w:hAnsi="宋体"/>
          <w:color w:val="000000" w:themeColor="text1"/>
          <w14:textFill>
            <w14:solidFill>
              <w14:schemeClr w14:val="tx1"/>
            </w14:solidFill>
          </w14:textFill>
        </w:rPr>
      </w:pPr>
      <w:bookmarkStart w:id="78" w:name="_Hlt92100255"/>
      <w:bookmarkEnd w:id="78"/>
      <w:bookmarkStart w:id="79" w:name="_Hlt87773422"/>
      <w:bookmarkEnd w:id="79"/>
      <w:bookmarkStart w:id="80" w:name="_Hlt92477987"/>
      <w:bookmarkEnd w:id="80"/>
      <w:bookmarkStart w:id="81" w:name="_Hlt92097807"/>
      <w:bookmarkEnd w:id="81"/>
      <w:bookmarkStart w:id="82" w:name="_Toc2454"/>
      <w:bookmarkStart w:id="83" w:name="_Toc5659"/>
      <w:bookmarkStart w:id="84" w:name="_Toc27431"/>
      <w:bookmarkStart w:id="85" w:name="_Toc1511"/>
      <w:bookmarkStart w:id="86" w:name="_Toc512481003"/>
      <w:bookmarkStart w:id="87" w:name="_Toc416875936"/>
      <w:bookmarkStart w:id="88" w:name="_Toc491744402"/>
      <w:bookmarkStart w:id="89" w:name="_Toc12661"/>
      <w:bookmarkStart w:id="90" w:name="_Toc495977858"/>
      <w:r>
        <w:rPr>
          <w:rFonts w:hint="eastAsia" w:hAnsi="宋体"/>
          <w:color w:val="000000" w:themeColor="text1"/>
          <w14:textFill>
            <w14:solidFill>
              <w14:schemeClr w14:val="tx1"/>
            </w14:solidFill>
          </w14:textFill>
        </w:rPr>
        <w:t>（六）关于评标</w:t>
      </w:r>
      <w:bookmarkEnd w:id="82"/>
      <w:bookmarkEnd w:id="83"/>
      <w:bookmarkEnd w:id="84"/>
      <w:bookmarkEnd w:id="85"/>
      <w:bookmarkEnd w:id="86"/>
      <w:bookmarkEnd w:id="87"/>
      <w:bookmarkEnd w:id="88"/>
      <w:bookmarkEnd w:id="89"/>
    </w:p>
    <w:p>
      <w:pPr>
        <w:numPr>
          <w:ilvl w:val="0"/>
          <w:numId w:val="12"/>
        </w:numPr>
        <w:snapToGrid w:val="0"/>
        <w:spacing w:line="360" w:lineRule="auto"/>
        <w:rPr>
          <w:rFonts w:ascii="宋体" w:hAnsi="宋体" w:eastAsia="宋体" w:cs="宋体"/>
          <w:b/>
          <w:color w:val="000000" w:themeColor="text1"/>
          <w:szCs w:val="20"/>
          <w14:textFill>
            <w14:solidFill>
              <w14:schemeClr w14:val="tx1"/>
            </w14:solidFill>
          </w14:textFill>
        </w:rPr>
      </w:pPr>
      <w:bookmarkStart w:id="91" w:name="_Hlt92097792"/>
      <w:bookmarkEnd w:id="91"/>
      <w:r>
        <w:rPr>
          <w:rFonts w:hint="eastAsia" w:ascii="宋体" w:hAnsi="宋体" w:eastAsia="宋体" w:cs="宋体"/>
          <w:b/>
          <w:color w:val="000000" w:themeColor="text1"/>
          <w:szCs w:val="20"/>
          <w14:textFill>
            <w14:solidFill>
              <w14:schemeClr w14:val="tx1"/>
            </w14:solidFill>
          </w14:textFill>
        </w:rPr>
        <w:t>评标委员会和评标方法</w:t>
      </w:r>
    </w:p>
    <w:p>
      <w:pPr>
        <w:numPr>
          <w:ilvl w:val="1"/>
          <w:numId w:val="12"/>
        </w:numPr>
        <w:snapToGrid w:val="0"/>
        <w:spacing w:line="360" w:lineRule="auto"/>
        <w:rPr>
          <w:rFonts w:ascii="宋体" w:hAnsi="宋体" w:eastAsia="宋体" w:cs="宋体"/>
          <w:bCs/>
          <w:color w:val="000000" w:themeColor="text1"/>
          <w:kern w:val="28"/>
          <w:szCs w:val="20"/>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评标</w:t>
      </w:r>
      <w:r>
        <w:rPr>
          <w:rFonts w:hint="eastAsia" w:ascii="宋体" w:hAnsi="宋体" w:eastAsia="宋体" w:cs="宋体"/>
          <w:bCs/>
          <w:color w:val="000000" w:themeColor="text1"/>
          <w:kern w:val="28"/>
          <w:szCs w:val="20"/>
          <w14:textFill>
            <w14:solidFill>
              <w14:schemeClr w14:val="tx1"/>
            </w14:solidFill>
          </w14:textFill>
        </w:rPr>
        <w:t>由依照政府采购法律、法规、规章、政策的规定，组建的评标委员会负责。</w:t>
      </w:r>
    </w:p>
    <w:p>
      <w:pPr>
        <w:numPr>
          <w:ilvl w:val="1"/>
          <w:numId w:val="12"/>
        </w:numPr>
        <w:snapToGrid w:val="0"/>
        <w:spacing w:line="360" w:lineRule="auto"/>
        <w:rPr>
          <w:rFonts w:ascii="宋体" w:hAnsi="宋体" w:eastAsia="宋体" w:cs="宋体"/>
          <w:bCs/>
          <w:color w:val="000000" w:themeColor="text1"/>
          <w:kern w:val="28"/>
          <w:szCs w:val="20"/>
          <w14:textFill>
            <w14:solidFill>
              <w14:schemeClr w14:val="tx1"/>
            </w14:solidFill>
          </w14:textFill>
        </w:rPr>
      </w:pPr>
      <w:r>
        <w:rPr>
          <w:rFonts w:hint="eastAsia" w:ascii="宋体" w:hAnsi="宋体" w:eastAsia="宋体" w:cs="宋体"/>
          <w:bCs/>
          <w:color w:val="000000" w:themeColor="text1"/>
          <w:kern w:val="28"/>
          <w:szCs w:val="20"/>
          <w14:textFill>
            <w14:solidFill>
              <w14:schemeClr w14:val="tx1"/>
            </w14:solidFill>
          </w14:textFill>
        </w:rPr>
        <w:t>评标委员会由采购人代表和评审专家组成，成员人数应为5人以上单数，其中评审专家不得少于成员总数的三分之二。</w:t>
      </w:r>
    </w:p>
    <w:p>
      <w:pPr>
        <w:numPr>
          <w:ilvl w:val="1"/>
          <w:numId w:val="12"/>
        </w:numPr>
        <w:snapToGrid w:val="0"/>
        <w:spacing w:line="360" w:lineRule="auto"/>
        <w:rPr>
          <w:rFonts w:ascii="宋体" w:hAnsi="宋体" w:eastAsia="宋体" w:cs="宋体"/>
          <w:bCs/>
          <w:color w:val="000000" w:themeColor="text1"/>
          <w:kern w:val="28"/>
          <w:szCs w:val="20"/>
          <w14:textFill>
            <w14:solidFill>
              <w14:schemeClr w14:val="tx1"/>
            </w14:solidFill>
          </w14:textFill>
        </w:rPr>
      </w:pPr>
      <w:r>
        <w:rPr>
          <w:rFonts w:hint="eastAsia" w:ascii="宋体" w:hAnsi="宋体" w:eastAsia="宋体" w:cs="宋体"/>
          <w:bCs/>
          <w:color w:val="000000" w:themeColor="text1"/>
          <w:kern w:val="28"/>
          <w:szCs w:val="20"/>
          <w14:textFill>
            <w14:solidFill>
              <w14:schemeClr w14:val="tx1"/>
            </w14:solidFill>
          </w14:textFill>
        </w:rPr>
        <w:t>评标委员会成员依法从政府采购评审专家库中，通过随机方式抽取。</w:t>
      </w:r>
    </w:p>
    <w:p>
      <w:pPr>
        <w:numPr>
          <w:ilvl w:val="1"/>
          <w:numId w:val="12"/>
        </w:numPr>
        <w:snapToGrid w:val="0"/>
        <w:spacing w:line="360" w:lineRule="auto"/>
        <w:rPr>
          <w:rFonts w:ascii="宋体" w:hAnsi="宋体" w:eastAsia="宋体" w:cs="宋体"/>
          <w:bCs/>
          <w:color w:val="000000" w:themeColor="text1"/>
          <w:kern w:val="28"/>
          <w:szCs w:val="20"/>
          <w14:textFill>
            <w14:solidFill>
              <w14:schemeClr w14:val="tx1"/>
            </w14:solidFill>
          </w14:textFill>
        </w:rPr>
      </w:pPr>
      <w:r>
        <w:rPr>
          <w:rFonts w:hint="eastAsia" w:ascii="宋体" w:hAnsi="宋体" w:eastAsia="宋体" w:cs="宋体"/>
          <w:bCs/>
          <w:color w:val="000000" w:themeColor="text1"/>
          <w:kern w:val="28"/>
          <w:szCs w:val="20"/>
          <w14:textFill>
            <w14:solidFill>
              <w14:schemeClr w14:val="tx1"/>
            </w14:solidFill>
          </w14:textFill>
        </w:rPr>
        <w:t>评标委员会将按照招标文件确定的评标方法进行评标。评标委员会对投标文件的评审分为符合性检查和商务评审、技术评审、价格评审。</w:t>
      </w:r>
    </w:p>
    <w:p>
      <w:pPr>
        <w:numPr>
          <w:ilvl w:val="1"/>
          <w:numId w:val="12"/>
        </w:numPr>
        <w:snapToGrid w:val="0"/>
        <w:spacing w:line="360" w:lineRule="auto"/>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kern w:val="28"/>
          <w:szCs w:val="20"/>
          <w14:textFill>
            <w14:solidFill>
              <w14:schemeClr w14:val="tx1"/>
            </w14:solidFill>
          </w14:textFill>
        </w:rPr>
        <w:t>本次评</w:t>
      </w:r>
      <w:r>
        <w:rPr>
          <w:rFonts w:hint="eastAsia" w:ascii="宋体" w:hAnsi="宋体" w:eastAsia="宋体" w:cs="宋体"/>
          <w:bCs/>
          <w:color w:val="000000" w:themeColor="text1"/>
          <w:szCs w:val="21"/>
          <w14:textFill>
            <w14:solidFill>
              <w14:schemeClr w14:val="tx1"/>
            </w14:solidFill>
          </w14:textFill>
        </w:rPr>
        <w:t>标采用</w:t>
      </w:r>
      <w:r>
        <w:rPr>
          <w:rFonts w:hint="eastAsia" w:ascii="宋体" w:hAnsi="宋体" w:eastAsia="宋体" w:cs="宋体"/>
          <w:b/>
          <w:bCs/>
          <w:color w:val="000000" w:themeColor="text1"/>
          <w:szCs w:val="21"/>
          <w:u w:val="single"/>
          <w14:textFill>
            <w14:solidFill>
              <w14:schemeClr w14:val="tx1"/>
            </w14:solidFill>
          </w14:textFill>
        </w:rPr>
        <w:t xml:space="preserve"> 投标须知前附表 </w:t>
      </w:r>
      <w:r>
        <w:rPr>
          <w:rFonts w:hint="eastAsia" w:ascii="宋体" w:hAnsi="宋体" w:eastAsia="宋体" w:cs="宋体"/>
          <w:bCs/>
          <w:color w:val="000000" w:themeColor="text1"/>
          <w:szCs w:val="21"/>
          <w14:textFill>
            <w14:solidFill>
              <w14:schemeClr w14:val="tx1"/>
            </w14:solidFill>
          </w14:textFill>
        </w:rPr>
        <w:t>中选定的方法，具体见招标文件第四部分“评标方法、步骤、标准”。</w:t>
      </w:r>
    </w:p>
    <w:p>
      <w:pPr>
        <w:spacing w:line="360" w:lineRule="auto"/>
        <w:rPr>
          <w:rFonts w:ascii="宋体" w:hAnsi="宋体" w:eastAsia="宋体" w:cs="宋体"/>
          <w:color w:val="000000" w:themeColor="text1"/>
          <w:szCs w:val="20"/>
          <w14:textFill>
            <w14:solidFill>
              <w14:schemeClr w14:val="tx1"/>
            </w14:solidFill>
          </w14:textFill>
        </w:rPr>
      </w:pPr>
    </w:p>
    <w:p>
      <w:pPr>
        <w:numPr>
          <w:ilvl w:val="0"/>
          <w:numId w:val="12"/>
        </w:numPr>
        <w:snapToGrid w:val="0"/>
        <w:spacing w:line="360" w:lineRule="auto"/>
        <w:rPr>
          <w:rFonts w:ascii="宋体" w:hAnsi="宋体" w:eastAsia="宋体" w:cs="宋体"/>
          <w:b/>
          <w:bCs/>
          <w:color w:val="000000" w:themeColor="text1"/>
          <w:szCs w:val="20"/>
          <w14:textFill>
            <w14:solidFill>
              <w14:schemeClr w14:val="tx1"/>
            </w14:solidFill>
          </w14:textFill>
        </w:rPr>
      </w:pPr>
      <w:r>
        <w:rPr>
          <w:rFonts w:hint="eastAsia" w:ascii="宋体" w:hAnsi="宋体" w:eastAsia="宋体" w:cs="宋体"/>
          <w:b/>
          <w:bCs/>
          <w:color w:val="000000" w:themeColor="text1"/>
          <w:szCs w:val="20"/>
          <w14:textFill>
            <w14:solidFill>
              <w14:schemeClr w14:val="tx1"/>
            </w14:solidFill>
          </w14:textFill>
        </w:rPr>
        <w:t>投标文件的初审</w:t>
      </w:r>
    </w:p>
    <w:p>
      <w:pPr>
        <w:numPr>
          <w:ilvl w:val="1"/>
          <w:numId w:val="12"/>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评标期间，对于投标文件中含义不明确、同类问题表述不一致或者有明显文字和计算错误的内容，评标委员会以书面的形式要求投标人作出必要的澄清、说明或者补正。</w:t>
      </w:r>
    </w:p>
    <w:p>
      <w:pPr>
        <w:numPr>
          <w:ilvl w:val="1"/>
          <w:numId w:val="12"/>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投标人的澄清、说明或者补正采用书面形式，并加盖公章，或者由法定代表人或其授权的代表签字。投标人的澄清、说明或者补正不得超出投标文件的范围或者改变投标文件的实质性内容。</w:t>
      </w:r>
    </w:p>
    <w:p>
      <w:pPr>
        <w:numPr>
          <w:ilvl w:val="1"/>
          <w:numId w:val="12"/>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投标人的澄清文件是其投标文件的组成部分。</w:t>
      </w:r>
    </w:p>
    <w:bookmarkEnd w:id="90"/>
    <w:p>
      <w:pPr>
        <w:tabs>
          <w:tab w:val="left" w:pos="0"/>
        </w:tabs>
        <w:spacing w:line="360" w:lineRule="auto"/>
        <w:rPr>
          <w:rFonts w:ascii="宋体" w:hAnsi="宋体" w:eastAsia="宋体" w:cs="宋体"/>
          <w:color w:val="000000" w:themeColor="text1"/>
          <w:szCs w:val="18"/>
          <w14:textFill>
            <w14:solidFill>
              <w14:schemeClr w14:val="tx1"/>
            </w14:solidFill>
          </w14:textFill>
        </w:rPr>
      </w:pPr>
    </w:p>
    <w:p>
      <w:pPr>
        <w:numPr>
          <w:ilvl w:val="0"/>
          <w:numId w:val="12"/>
        </w:numPr>
        <w:snapToGrid w:val="0"/>
        <w:spacing w:line="360" w:lineRule="auto"/>
        <w:rPr>
          <w:rFonts w:ascii="宋体" w:hAnsi="宋体" w:eastAsia="宋体" w:cs="宋体"/>
          <w:b/>
          <w:bCs/>
          <w:color w:val="000000" w:themeColor="text1"/>
          <w:szCs w:val="20"/>
          <w14:textFill>
            <w14:solidFill>
              <w14:schemeClr w14:val="tx1"/>
            </w14:solidFill>
          </w14:textFill>
        </w:rPr>
      </w:pPr>
      <w:r>
        <w:rPr>
          <w:rFonts w:hint="eastAsia" w:ascii="宋体" w:hAnsi="宋体" w:eastAsia="宋体" w:cs="宋体"/>
          <w:b/>
          <w:bCs/>
          <w:color w:val="000000" w:themeColor="text1"/>
          <w:szCs w:val="20"/>
          <w14:textFill>
            <w14:solidFill>
              <w14:schemeClr w14:val="tx1"/>
            </w14:solidFill>
          </w14:textFill>
        </w:rPr>
        <w:t>投标文件的澄清</w:t>
      </w:r>
    </w:p>
    <w:p>
      <w:pPr>
        <w:numPr>
          <w:ilvl w:val="1"/>
          <w:numId w:val="12"/>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评标期间，对于投标文件中含义不明确、同类问题表述不一致或者有明显文字和计算错误的内容，评标委员会以书面的形式要求投标人作出必要的澄清、说明或者补正。</w:t>
      </w:r>
    </w:p>
    <w:p>
      <w:pPr>
        <w:numPr>
          <w:ilvl w:val="1"/>
          <w:numId w:val="12"/>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投标人的澄清、说明或者补正采用书面形式，并加盖公章，或者由法定代表人或其授权的代表签字。投标人的澄清、说明或者补正不得超出投标文件的范围或者改变投标文件的实质性内容。</w:t>
      </w:r>
    </w:p>
    <w:p>
      <w:pPr>
        <w:numPr>
          <w:ilvl w:val="1"/>
          <w:numId w:val="12"/>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投标人的澄清文件是其投标文件的组成部分。</w:t>
      </w:r>
    </w:p>
    <w:p>
      <w:pPr>
        <w:tabs>
          <w:tab w:val="left" w:pos="0"/>
        </w:tabs>
        <w:spacing w:line="360" w:lineRule="auto"/>
        <w:rPr>
          <w:rFonts w:ascii="宋体" w:hAnsi="宋体" w:eastAsia="宋体" w:cs="宋体"/>
          <w:color w:val="000000" w:themeColor="text1"/>
          <w:szCs w:val="18"/>
          <w14:textFill>
            <w14:solidFill>
              <w14:schemeClr w14:val="tx1"/>
            </w14:solidFill>
          </w14:textFill>
        </w:rPr>
      </w:pPr>
    </w:p>
    <w:p>
      <w:pPr>
        <w:numPr>
          <w:ilvl w:val="0"/>
          <w:numId w:val="12"/>
        </w:numPr>
        <w:snapToGrid w:val="0"/>
        <w:spacing w:line="360" w:lineRule="auto"/>
        <w:rPr>
          <w:rFonts w:ascii="宋体" w:hAnsi="宋体" w:eastAsia="宋体" w:cs="宋体"/>
          <w:b/>
          <w:bCs/>
          <w:color w:val="000000" w:themeColor="text1"/>
          <w:szCs w:val="20"/>
          <w14:textFill>
            <w14:solidFill>
              <w14:schemeClr w14:val="tx1"/>
            </w14:solidFill>
          </w14:textFill>
        </w:rPr>
      </w:pPr>
      <w:r>
        <w:rPr>
          <w:rFonts w:hint="eastAsia" w:ascii="宋体" w:hAnsi="宋体" w:eastAsia="宋体" w:cs="宋体"/>
          <w:b/>
          <w:color w:val="000000" w:themeColor="text1"/>
          <w:szCs w:val="20"/>
          <w14:textFill>
            <w14:solidFill>
              <w14:schemeClr w14:val="tx1"/>
            </w14:solidFill>
          </w14:textFill>
        </w:rPr>
        <w:t>投标文件详细评价</w:t>
      </w:r>
    </w:p>
    <w:p>
      <w:pPr>
        <w:numPr>
          <w:ilvl w:val="1"/>
          <w:numId w:val="12"/>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评标委员会将对通过符合性审查的投标文件进行详细评价和比较。</w:t>
      </w:r>
    </w:p>
    <w:p>
      <w:pPr>
        <w:spacing w:line="360" w:lineRule="auto"/>
        <w:rPr>
          <w:rFonts w:ascii="宋体" w:hAnsi="宋体" w:eastAsia="宋体" w:cs="宋体"/>
          <w:b/>
          <w:bCs/>
          <w:color w:val="000000" w:themeColor="text1"/>
          <w:szCs w:val="20"/>
          <w14:textFill>
            <w14:solidFill>
              <w14:schemeClr w14:val="tx1"/>
            </w14:solidFill>
          </w14:textFill>
        </w:rPr>
      </w:pPr>
    </w:p>
    <w:p>
      <w:pPr>
        <w:numPr>
          <w:ilvl w:val="0"/>
          <w:numId w:val="12"/>
        </w:numPr>
        <w:snapToGrid w:val="0"/>
        <w:spacing w:line="360" w:lineRule="auto"/>
        <w:rPr>
          <w:rFonts w:ascii="宋体" w:hAnsi="宋体" w:eastAsia="宋体" w:cs="宋体"/>
          <w:b/>
          <w:bCs/>
          <w:color w:val="000000" w:themeColor="text1"/>
          <w:szCs w:val="20"/>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定标原则与授标</w:t>
      </w:r>
    </w:p>
    <w:p>
      <w:pPr>
        <w:numPr>
          <w:ilvl w:val="1"/>
          <w:numId w:val="12"/>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评标委员会按照招标文件确定的评标方法、步骤、标准，对投标文件进行评审，提出书面评标报告</w:t>
      </w:r>
      <w:r>
        <w:rPr>
          <w:rFonts w:hint="eastAsia" w:ascii="宋体" w:hAnsi="宋体" w:eastAsia="宋体" w:cs="宋体"/>
          <w:color w:val="000000" w:themeColor="text1"/>
          <w:szCs w:val="20"/>
          <w14:textFill>
            <w14:solidFill>
              <w14:schemeClr w14:val="tx1"/>
            </w14:solidFill>
          </w14:textFill>
        </w:rPr>
        <w:t>。</w:t>
      </w:r>
    </w:p>
    <w:p>
      <w:pPr>
        <w:numPr>
          <w:ilvl w:val="1"/>
          <w:numId w:val="12"/>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采用综合评分法的，提供相同品牌产品且通过资格审查、符合性审查的不同投标人参加同一合同项下投标的，按一家投标人计算，评审后得分最高的同品牌投标人获得中标人推荐资格。评审后得分由高到低顺序排列；得分相同的，按投标报价由低到高顺序排列。得分且投标报价相同的，按技术指标优劣顺序排列。如以上都相同的，名次由评标委员会抽签确定。除规定推荐综合得分排名第一的投标人为第一中标候选人，排名第二的投标人为第二中标候选人，以此类推。</w:t>
      </w:r>
    </w:p>
    <w:p>
      <w:pPr>
        <w:numPr>
          <w:ilvl w:val="1"/>
          <w:numId w:val="12"/>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采购代理机构自评标结束后2个工作日内将评标报告送采购人。采购人应当自收到评标报告之日起5个工作日内在评标报告确定的中标候选人名单中按顺序确定中标人。</w:t>
      </w:r>
    </w:p>
    <w:p>
      <w:pPr>
        <w:numPr>
          <w:ilvl w:val="1"/>
          <w:numId w:val="12"/>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采购人在收到评标报告5个工作日内未按评标报告推荐的中标候选人顺序确定中标人，又不</w:t>
      </w:r>
      <w:r>
        <w:rPr>
          <w:rFonts w:hint="eastAsia" w:ascii="宋体" w:hAnsi="宋体" w:eastAsia="宋体" w:cs="宋体"/>
          <w:bCs/>
          <w:color w:val="000000" w:themeColor="text1"/>
          <w:spacing w:val="-4"/>
          <w:szCs w:val="21"/>
          <w14:textFill>
            <w14:solidFill>
              <w14:schemeClr w14:val="tx1"/>
            </w14:solidFill>
          </w14:textFill>
        </w:rPr>
        <w:t>能说明合法理由的，视同按评标报告推荐的顺序确定排名第一的中标候选人为中标人。</w:t>
      </w:r>
    </w:p>
    <w:p>
      <w:pPr>
        <w:snapToGrid w:val="0"/>
        <w:spacing w:line="360" w:lineRule="auto"/>
        <w:rPr>
          <w:rFonts w:ascii="宋体" w:hAnsi="宋体" w:eastAsia="宋体" w:cs="宋体"/>
          <w:color w:val="000000" w:themeColor="text1"/>
          <w:szCs w:val="20"/>
          <w14:textFill>
            <w14:solidFill>
              <w14:schemeClr w14:val="tx1"/>
            </w14:solidFill>
          </w14:textFill>
        </w:rPr>
      </w:pPr>
    </w:p>
    <w:p>
      <w:pPr>
        <w:numPr>
          <w:ilvl w:val="0"/>
          <w:numId w:val="12"/>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中标通知书</w:t>
      </w:r>
    </w:p>
    <w:p>
      <w:pPr>
        <w:numPr>
          <w:ilvl w:val="1"/>
          <w:numId w:val="12"/>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采购人或者采购代理机构应当自中标供应商确定之日起2个工作日内在指定媒体公告中标结果和发出中标通知书，公告期为1个工作日</w:t>
      </w:r>
      <w:r>
        <w:rPr>
          <w:rFonts w:hint="eastAsia" w:ascii="宋体" w:hAnsi="宋体" w:eastAsia="宋体" w:cs="宋体"/>
          <w:color w:val="000000" w:themeColor="text1"/>
          <w:szCs w:val="20"/>
          <w14:textFill>
            <w14:solidFill>
              <w14:schemeClr w14:val="tx1"/>
            </w14:solidFill>
          </w14:textFill>
        </w:rPr>
        <w:t>。</w:t>
      </w:r>
    </w:p>
    <w:p>
      <w:pPr>
        <w:numPr>
          <w:ilvl w:val="1"/>
          <w:numId w:val="12"/>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《中标通知书》对中标人和采购人具有同等法律效力。</w:t>
      </w:r>
    </w:p>
    <w:p>
      <w:pPr>
        <w:numPr>
          <w:ilvl w:val="1"/>
          <w:numId w:val="12"/>
        </w:numPr>
        <w:snapToGrid w:val="0"/>
        <w:spacing w:line="360" w:lineRule="auto"/>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中标通知书发出后，采购人不得违法改变中标结果，中标人无正当理由不得放弃中标。</w:t>
      </w:r>
    </w:p>
    <w:p>
      <w:pPr>
        <w:numPr>
          <w:ilvl w:val="1"/>
          <w:numId w:val="12"/>
        </w:numPr>
        <w:snapToGrid w:val="0"/>
        <w:spacing w:line="360" w:lineRule="auto"/>
        <w:rPr>
          <w:rFonts w:ascii="宋体" w:hAnsi="宋体" w:eastAsia="宋体" w:cs="宋体"/>
          <w:color w:val="000000" w:themeColor="text1"/>
          <w:szCs w:val="20"/>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《中标通知书》将作为授予合同资格的合法依据，是合同的一个组成部分。</w:t>
      </w:r>
    </w:p>
    <w:p>
      <w:pPr>
        <w:spacing w:line="360" w:lineRule="auto"/>
        <w:rPr>
          <w:rFonts w:ascii="宋体" w:hAnsi="宋体"/>
          <w:color w:val="000000" w:themeColor="text1"/>
          <w:sz w:val="24"/>
          <w14:textFill>
            <w14:solidFill>
              <w14:schemeClr w14:val="tx1"/>
            </w14:solidFill>
          </w14:textFill>
        </w:rPr>
      </w:pPr>
    </w:p>
    <w:p>
      <w:pPr>
        <w:pStyle w:val="4"/>
        <w:jc w:val="center"/>
        <w:rPr>
          <w:rFonts w:hAnsi="宋体"/>
          <w:color w:val="000000" w:themeColor="text1"/>
          <w:sz w:val="24"/>
          <w14:textFill>
            <w14:solidFill>
              <w14:schemeClr w14:val="tx1"/>
            </w14:solidFill>
          </w14:textFill>
        </w:rPr>
      </w:pPr>
      <w:bookmarkStart w:id="92" w:name="_Hlt87773435"/>
      <w:bookmarkEnd w:id="92"/>
      <w:bookmarkStart w:id="93" w:name="_Toc416875937"/>
      <w:bookmarkStart w:id="94" w:name="_Toc495977859"/>
      <w:bookmarkStart w:id="95" w:name="_Toc23919"/>
      <w:bookmarkStart w:id="96" w:name="_Toc24702"/>
      <w:bookmarkStart w:id="97" w:name="_Toc19080"/>
      <w:bookmarkStart w:id="98" w:name="_Toc22107"/>
      <w:bookmarkStart w:id="99" w:name="_Toc3416"/>
      <w:r>
        <w:rPr>
          <w:rFonts w:hint="eastAsia" w:hAnsi="宋体"/>
          <w:color w:val="000000" w:themeColor="text1"/>
          <w14:textFill>
            <w14:solidFill>
              <w14:schemeClr w14:val="tx1"/>
            </w14:solidFill>
          </w14:textFill>
        </w:rPr>
        <w:t>（七）</w:t>
      </w:r>
      <w:bookmarkEnd w:id="93"/>
      <w:bookmarkEnd w:id="94"/>
      <w:r>
        <w:rPr>
          <w:rFonts w:hint="eastAsia" w:hAnsi="宋体"/>
          <w:color w:val="000000" w:themeColor="text1"/>
          <w14:textFill>
            <w14:solidFill>
              <w14:schemeClr w14:val="tx1"/>
            </w14:solidFill>
          </w14:textFill>
        </w:rPr>
        <w:t>授予合同</w:t>
      </w:r>
      <w:bookmarkEnd w:id="95"/>
      <w:bookmarkEnd w:id="96"/>
      <w:bookmarkEnd w:id="97"/>
      <w:bookmarkEnd w:id="98"/>
      <w:bookmarkEnd w:id="99"/>
    </w:p>
    <w:p>
      <w:pPr>
        <w:numPr>
          <w:ilvl w:val="0"/>
          <w:numId w:val="12"/>
        </w:numPr>
        <w:snapToGrid w:val="0"/>
        <w:spacing w:line="360" w:lineRule="auto"/>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合同的订立</w:t>
      </w:r>
    </w:p>
    <w:p>
      <w:pPr>
        <w:numPr>
          <w:ilvl w:val="1"/>
          <w:numId w:val="12"/>
        </w:numPr>
        <w:snapToGrid w:val="0"/>
        <w:spacing w:line="360" w:lineRule="auto"/>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u w:val="single"/>
          <w14:textFill>
            <w14:solidFill>
              <w14:schemeClr w14:val="tx1"/>
            </w14:solidFill>
          </w14:textFill>
        </w:rPr>
        <w:t>除非“投标须知前附表”另有规定，采购人应当自《中标通知书》发出之日起三十日内，按照招标文件和中标人投标文件的约定，与中标人签订书面合同。所签订的合同不得对招标文件确定的事项和中标人投标文件作实质性修改。</w:t>
      </w:r>
    </w:p>
    <w:p>
      <w:pPr>
        <w:numPr>
          <w:ilvl w:val="1"/>
          <w:numId w:val="12"/>
        </w:numPr>
        <w:snapToGrid w:val="0"/>
        <w:spacing w:line="360" w:lineRule="auto"/>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u w:val="single"/>
          <w14:textFill>
            <w14:solidFill>
              <w14:schemeClr w14:val="tx1"/>
            </w14:solidFill>
          </w14:textFill>
        </w:rPr>
        <w:t>采购人不得向中标人提出任何不合理的要求作为签订合同的条件。</w:t>
      </w:r>
    </w:p>
    <w:p>
      <w:pPr>
        <w:numPr>
          <w:ilvl w:val="1"/>
          <w:numId w:val="12"/>
        </w:numPr>
        <w:snapToGrid w:val="0"/>
        <w:spacing w:line="360" w:lineRule="auto"/>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u w:val="single"/>
          <w14:textFill>
            <w14:solidFill>
              <w14:schemeClr w14:val="tx1"/>
            </w14:solidFill>
          </w14:textFill>
        </w:rPr>
        <w:t>中标人在购买招标文件至投标有效期结束期间，采购人、代理机构及中标人关于本项目的各类澄清、修改及补充文件均视为采购合同的有效组成部分。</w:t>
      </w:r>
    </w:p>
    <w:p>
      <w:pPr>
        <w:numPr>
          <w:ilvl w:val="1"/>
          <w:numId w:val="12"/>
        </w:numPr>
        <w:snapToGrid w:val="0"/>
        <w:spacing w:line="360" w:lineRule="auto"/>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u w:val="single"/>
          <w14:textFill>
            <w14:solidFill>
              <w14:schemeClr w14:val="tx1"/>
            </w14:solidFill>
          </w14:textFill>
        </w:rPr>
        <w:t>中标人拒绝与采购人签订合同的，采购人可以按照评审报告推荐的中标候选人名单排序，确定下一候选人为中标人，也可以重新开展政府采购活动。</w:t>
      </w:r>
    </w:p>
    <w:p>
      <w:pPr>
        <w:numPr>
          <w:ilvl w:val="1"/>
          <w:numId w:val="12"/>
        </w:numPr>
        <w:snapToGrid w:val="0"/>
        <w:spacing w:line="360" w:lineRule="auto"/>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u w:val="single"/>
          <w14:textFill>
            <w14:solidFill>
              <w14:schemeClr w14:val="tx1"/>
            </w14:solidFill>
          </w14:textFill>
        </w:rPr>
        <w:t>合同签订之日起3个工作日内，中标人须将所签订的合同原件或者副本交采购代理机构处归档并办理退还投标保证金事宜。</w:t>
      </w:r>
    </w:p>
    <w:p>
      <w:pPr>
        <w:tabs>
          <w:tab w:val="left" w:pos="0"/>
        </w:tabs>
        <w:spacing w:line="360" w:lineRule="auto"/>
        <w:rPr>
          <w:rFonts w:ascii="宋体" w:hAnsi="宋体" w:eastAsia="宋体" w:cs="宋体"/>
          <w:color w:val="000000" w:themeColor="text1"/>
          <w:szCs w:val="21"/>
          <w14:textFill>
            <w14:solidFill>
              <w14:schemeClr w14:val="tx1"/>
            </w14:solidFill>
          </w14:textFill>
        </w:rPr>
      </w:pPr>
    </w:p>
    <w:p>
      <w:pPr>
        <w:numPr>
          <w:ilvl w:val="0"/>
          <w:numId w:val="12"/>
        </w:numPr>
        <w:snapToGrid w:val="0"/>
        <w:spacing w:line="360" w:lineRule="auto"/>
        <w:rPr>
          <w:rFonts w:ascii="宋体" w:hAnsi="宋体" w:eastAsia="宋体" w:cs="宋体"/>
          <w:b/>
          <w:color w:val="000000" w:themeColor="text1"/>
          <w14:textFill>
            <w14:solidFill>
              <w14:schemeClr w14:val="tx1"/>
            </w14:solidFill>
          </w14:textFill>
        </w:rPr>
      </w:pPr>
      <w:bookmarkStart w:id="100" w:name="_Hlt133293154"/>
      <w:bookmarkEnd w:id="100"/>
      <w:r>
        <w:rPr>
          <w:rFonts w:hint="eastAsia" w:ascii="宋体" w:hAnsi="宋体" w:eastAsia="宋体" w:cs="宋体"/>
          <w:b/>
          <w:color w:val="000000" w:themeColor="text1"/>
          <w14:textFill>
            <w14:solidFill>
              <w14:schemeClr w14:val="tx1"/>
            </w14:solidFill>
          </w14:textFill>
        </w:rPr>
        <w:t>合同的履行</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采购人和中标人应当根据合同的约定依法履行合同义务。</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政府采购合同订立后，合同各方不得擅自变更、中止或者终止合同。政府采购合同需要变更的，采购人应将有关合同变更内容，以书面形式报同级政府采购监督管理部门备案；因特殊情况需要中止或终止合同的，采购人应将中止或终止合同的理由以及相应措施，以书面形式报同级政府采购监督管理部门备案。</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政府采购合同履行中，采购人需追加与合同标的相同的货物、工程或者服务的，在不改变合同其他条款的前提下，可以与供应商签订补充合同，但所补充合同的采购金额不得超过原合同采购金额的百分之十。签订补充合同的必须按规定备案。</w:t>
      </w:r>
    </w:p>
    <w:p>
      <w:pPr>
        <w:spacing w:line="360" w:lineRule="auto"/>
        <w:rPr>
          <w:rFonts w:ascii="宋体" w:hAnsi="宋体"/>
          <w:color w:val="000000" w:themeColor="text1"/>
          <w:sz w:val="24"/>
          <w14:textFill>
            <w14:solidFill>
              <w14:schemeClr w14:val="tx1"/>
            </w14:solidFill>
          </w14:textFill>
        </w:rPr>
      </w:pPr>
    </w:p>
    <w:p>
      <w:pPr>
        <w:numPr>
          <w:ilvl w:val="0"/>
          <w:numId w:val="12"/>
        </w:numPr>
        <w:snapToGrid w:val="0"/>
        <w:spacing w:line="360" w:lineRule="auto"/>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接受和拒绝任何或所有投标的权力</w:t>
      </w:r>
    </w:p>
    <w:p>
      <w:pPr>
        <w:numPr>
          <w:ilvl w:val="1"/>
          <w:numId w:val="12"/>
        </w:numPr>
        <w:snapToGrid w:val="0"/>
        <w:spacing w:line="360" w:lineRule="auto"/>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在</w:t>
      </w:r>
      <w:r>
        <w:rPr>
          <w:rFonts w:hint="eastAsia" w:ascii="宋体" w:hAnsi="宋体" w:eastAsia="宋体" w:cs="宋体"/>
          <w:color w:val="000000" w:themeColor="text1"/>
          <w:szCs w:val="21"/>
          <w14:textFill>
            <w14:solidFill>
              <w14:schemeClr w14:val="tx1"/>
            </w14:solidFill>
          </w14:textFill>
        </w:rPr>
        <w:t>特殊</w:t>
      </w:r>
      <w:r>
        <w:rPr>
          <w:rFonts w:hint="eastAsia" w:ascii="宋体" w:hAnsi="宋体" w:eastAsia="宋体" w:cs="宋体"/>
          <w:bCs/>
          <w:color w:val="000000" w:themeColor="text1"/>
          <w:szCs w:val="21"/>
          <w14:textFill>
            <w14:solidFill>
              <w14:schemeClr w14:val="tx1"/>
            </w14:solidFill>
          </w14:textFill>
        </w:rPr>
        <w:t>情况下，采购代理机构保留在投标之前拒绝任何投标以及宣布招标程序无效或拒绝所有投标的权力。</w:t>
      </w:r>
    </w:p>
    <w:p>
      <w:pPr>
        <w:snapToGrid w:val="0"/>
        <w:spacing w:line="360" w:lineRule="auto"/>
        <w:rPr>
          <w:rFonts w:ascii="宋体" w:hAnsi="宋体" w:eastAsia="宋体" w:cs="宋体"/>
          <w:color w:val="000000" w:themeColor="text1"/>
          <w:szCs w:val="21"/>
          <w14:textFill>
            <w14:solidFill>
              <w14:schemeClr w14:val="tx1"/>
            </w14:solidFill>
          </w14:textFill>
        </w:rPr>
      </w:pPr>
      <w:bookmarkStart w:id="101" w:name="_Hlt87773465"/>
      <w:bookmarkEnd w:id="101"/>
      <w:bookmarkStart w:id="102" w:name="_Hlt87779696"/>
      <w:bookmarkEnd w:id="102"/>
      <w:bookmarkStart w:id="103" w:name="_Hlt74192565"/>
      <w:bookmarkEnd w:id="103"/>
    </w:p>
    <w:p>
      <w:pPr>
        <w:numPr>
          <w:ilvl w:val="0"/>
          <w:numId w:val="12"/>
        </w:numPr>
        <w:snapToGrid w:val="0"/>
        <w:spacing w:line="360" w:lineRule="auto"/>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结果通知</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招标结果将在东莞市政府采购网（http://czj.dg.gov.cn/dggp/）等相关媒体上公开发布。采购代理机构向中标人发出《中标通知书》，向其他的投标人发出《中标结果通知书》。</w:t>
      </w:r>
    </w:p>
    <w:p>
      <w:pPr>
        <w:tabs>
          <w:tab w:val="left" w:pos="425"/>
          <w:tab w:val="left" w:pos="567"/>
        </w:tabs>
        <w:snapToGrid w:val="0"/>
        <w:spacing w:line="360" w:lineRule="auto"/>
        <w:rPr>
          <w:rFonts w:ascii="宋体" w:hAnsi="宋体" w:eastAsia="宋体" w:cs="宋体"/>
          <w:color w:val="000000" w:themeColor="text1"/>
          <w:szCs w:val="21"/>
          <w14:textFill>
            <w14:solidFill>
              <w14:schemeClr w14:val="tx1"/>
            </w14:solidFill>
          </w14:textFill>
        </w:rPr>
      </w:pPr>
    </w:p>
    <w:p>
      <w:pPr>
        <w:pStyle w:val="4"/>
        <w:jc w:val="center"/>
        <w:rPr>
          <w:rFonts w:ascii="宋体" w:hAnsi="宋体" w:eastAsia="宋体" w:cs="宋体"/>
          <w:color w:val="000000" w:themeColor="text1"/>
          <w:szCs w:val="21"/>
          <w14:textFill>
            <w14:solidFill>
              <w14:schemeClr w14:val="tx1"/>
            </w14:solidFill>
          </w14:textFill>
        </w:rPr>
      </w:pPr>
      <w:bookmarkStart w:id="104" w:name="_Toc2100"/>
      <w:r>
        <w:rPr>
          <w:rFonts w:hint="eastAsia" w:ascii="宋体" w:hAnsi="宋体" w:eastAsia="宋体" w:cs="宋体"/>
          <w:color w:val="000000" w:themeColor="text1"/>
          <w:szCs w:val="21"/>
          <w14:textFill>
            <w14:solidFill>
              <w14:schemeClr w14:val="tx1"/>
            </w14:solidFill>
          </w14:textFill>
        </w:rPr>
        <w:t>（八）关于询问、质疑</w:t>
      </w:r>
      <w:bookmarkEnd w:id="104"/>
    </w:p>
    <w:p>
      <w:pPr>
        <w:numPr>
          <w:ilvl w:val="0"/>
          <w:numId w:val="12"/>
        </w:numPr>
        <w:snapToGrid w:val="0"/>
        <w:spacing w:line="360" w:lineRule="auto"/>
        <w:rPr>
          <w:rFonts w:ascii="宋体"/>
          <w:b/>
          <w:bCs/>
          <w:color w:val="000000" w:themeColor="text1"/>
          <w:szCs w:val="21"/>
          <w14:textFill>
            <w14:solidFill>
              <w14:schemeClr w14:val="tx1"/>
            </w14:solidFill>
          </w14:textFill>
        </w:rPr>
      </w:pPr>
      <w:r>
        <w:rPr>
          <w:rFonts w:hint="eastAsia" w:ascii="宋体"/>
          <w:b/>
          <w:bCs/>
          <w:color w:val="000000" w:themeColor="text1"/>
          <w:szCs w:val="21"/>
          <w14:textFill>
            <w14:solidFill>
              <w14:schemeClr w14:val="tx1"/>
            </w14:solidFill>
          </w14:textFill>
        </w:rPr>
        <w:t>询问</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投标供应商对政府采购活动事项（招标文件、采购过程和中标结果）有疑问的，可以向采购人或采购代理机构提出询问，采购人或采购代理机构将作出答复。询问可以口头方式提出，也可以书面方式提出。</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如采用书面方式提出询问：</w:t>
      </w:r>
    </w:p>
    <w:p>
      <w:pPr>
        <w:snapToGrid w:val="0"/>
        <w:spacing w:line="360" w:lineRule="auto"/>
        <w:ind w:left="567"/>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供应商为自然人的，应当由本人签字；供应商为法人或者其他组织的，应当由法定代表人、主要负责人，或者其授权代表签字或者盖章，并加盖公章。</w:t>
      </w:r>
    </w:p>
    <w:p>
      <w:pPr>
        <w:snapToGrid w:val="0"/>
        <w:spacing w:line="360" w:lineRule="auto"/>
        <w:ind w:left="567"/>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供应商递交询问函时，非法定代表人（投标人为法人时）或主要负责人（投标人为其他组织时 ）亲自办理的需提供授权委托书（应载明授权代表的姓名或者名称、代理事项、具体权限、期限和相关事项）及授权代表身份证复印件。</w:t>
      </w:r>
    </w:p>
    <w:p>
      <w:pPr>
        <w:snapToGrid w:val="0"/>
        <w:spacing w:line="360" w:lineRule="auto"/>
        <w:ind w:firstLine="420" w:firstLineChars="200"/>
        <w:rPr>
          <w:rFonts w:ascii="宋体"/>
          <w:bCs/>
          <w:color w:val="000000" w:themeColor="text1"/>
          <w:szCs w:val="21"/>
          <w14:textFill>
            <w14:solidFill>
              <w14:schemeClr w14:val="tx1"/>
            </w14:solidFill>
          </w14:textFill>
        </w:rPr>
      </w:pPr>
    </w:p>
    <w:p>
      <w:pPr>
        <w:numPr>
          <w:ilvl w:val="0"/>
          <w:numId w:val="12"/>
        </w:numPr>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质疑</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质疑期限</w:t>
      </w:r>
    </w:p>
    <w:p>
      <w:pPr>
        <w:snapToGrid w:val="0"/>
        <w:spacing w:line="360" w:lineRule="auto"/>
        <w:ind w:left="567"/>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供应商认为招标文件的内容损害其权益的，应在收到招标文件之日或者招标文件公告期届满之日起七个工作日内。（注：供应商购买招标文件之日早于招标文件公告期限届满之日的，则以供应商购买招标文件之日为质疑时效期间的起算日期；否则，以招标文件公告期限届满之日为质疑时效期间的起算日期）</w:t>
      </w:r>
    </w:p>
    <w:p>
      <w:pPr>
        <w:snapToGrid w:val="0"/>
        <w:spacing w:line="360" w:lineRule="auto"/>
        <w:ind w:left="567"/>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供应商认为采购过程损害其权益的，应在各采购程序环节结束之日起七个工作日内。</w:t>
      </w:r>
    </w:p>
    <w:p>
      <w:pPr>
        <w:snapToGrid w:val="0"/>
        <w:spacing w:line="360" w:lineRule="auto"/>
        <w:ind w:left="567"/>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供应商认为中标或者成交结果损害其权益的，应在中标或者成交结果公告期限届满之日起七个工作日内。</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提交要求</w:t>
      </w:r>
    </w:p>
    <w:p>
      <w:pPr>
        <w:snapToGrid w:val="0"/>
        <w:spacing w:line="360" w:lineRule="auto"/>
        <w:ind w:left="567"/>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以书面形式向采购人或者采购代理机构一次性提出针对同一采购程序环节的质疑。</w:t>
      </w:r>
    </w:p>
    <w:p>
      <w:pPr>
        <w:snapToGrid w:val="0"/>
        <w:spacing w:line="360" w:lineRule="auto"/>
        <w:ind w:left="567"/>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以联合体形式参加政府采购活动的，其质疑应当由组成联合体的所有供应商共同提出。</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质疑函内容</w:t>
      </w:r>
    </w:p>
    <w:p>
      <w:pPr>
        <w:snapToGrid w:val="0"/>
        <w:spacing w:line="360" w:lineRule="auto"/>
        <w:ind w:left="567"/>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质疑函应包括供应商的姓名或者名称、地址、邮编、联系人及联系电话、质疑项目的名称及编号、具体且明确的质疑事项和与质疑事项相关的请求、事实依据、必要的法律依据、提出质疑的日期（详见财政部国库司发布的《政府采购供应商质疑函范本》）。</w:t>
      </w:r>
      <w:r>
        <w:rPr>
          <w:rFonts w:ascii="宋体" w:hAnsi="宋体" w:eastAsia="宋体" w:cs="宋体"/>
          <w:color w:val="000000" w:themeColor="text1"/>
          <w:szCs w:val="21"/>
          <w14:textFill>
            <w14:solidFill>
              <w14:schemeClr w14:val="tx1"/>
            </w14:solidFill>
          </w14:textFill>
        </w:rPr>
        <w:t>供应商为自然人的，应当由本人签字；供应商为法人或者其他组织的，应当由法定代表人、主要负责人，或者其授权代表签字或者盖章，并加盖公章。</w:t>
      </w:r>
    </w:p>
    <w:p>
      <w:pPr>
        <w:snapToGrid w:val="0"/>
        <w:spacing w:line="360" w:lineRule="auto"/>
        <w:ind w:left="567"/>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供应商递交质疑函时，非法定代表人（投标人为法人时）或主要负责人（投标人为其他组织时 ）亲自办理的，需提供授权委托书（应载明授权代表的姓名或者名称、代理事项、具体权限、期限和相关事项）及授权代表身份证复印件。</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供应商捏造事实、提供虚假材料或者以非法手段取得证明材料不能作为质疑的证明材料。</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采购人或者采购代理机构在收到投标人的书面质疑后7个工作日内作出答复，并以书面形式通知质疑投标人和其他有关投标人，但答复内容不涉及商业秘密。</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采购人或采购代理机构接收以书面形式递交的质疑函。</w:t>
      </w:r>
    </w:p>
    <w:p>
      <w:pPr>
        <w:numPr>
          <w:ilvl w:val="1"/>
          <w:numId w:val="12"/>
        </w:num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质疑联系方式</w:t>
      </w:r>
    </w:p>
    <w:p>
      <w:pPr>
        <w:snapToGrid w:val="0"/>
        <w:spacing w:line="360" w:lineRule="auto"/>
        <w:ind w:left="567"/>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受理机构：广东旭腾项目管理有限公司</w:t>
      </w:r>
    </w:p>
    <w:p>
      <w:pPr>
        <w:snapToGrid w:val="0"/>
        <w:spacing w:line="360" w:lineRule="auto"/>
        <w:ind w:left="567"/>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质疑地址：</w:t>
      </w:r>
      <w:r>
        <w:rPr>
          <w:rFonts w:hint="eastAsia" w:ascii="宋体" w:hAnsi="宋体" w:eastAsia="宋体" w:cs="宋体"/>
          <w:bCs/>
          <w:color w:val="000000" w:themeColor="text1"/>
          <w:szCs w:val="21"/>
          <w14:textFill>
            <w14:solidFill>
              <w14:schemeClr w14:val="tx1"/>
            </w14:solidFill>
          </w14:textFill>
        </w:rPr>
        <w:t>东莞市莞城街道兴塘社区东城西路266号城市花园A座办公楼1010号</w:t>
      </w:r>
    </w:p>
    <w:p>
      <w:pPr>
        <w:snapToGrid w:val="0"/>
        <w:spacing w:line="360" w:lineRule="auto"/>
        <w:ind w:left="567"/>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质疑电话：0769-22457332</w:t>
      </w:r>
    </w:p>
    <w:p>
      <w:pPr>
        <w:snapToGrid w:val="0"/>
        <w:spacing w:line="360" w:lineRule="auto"/>
        <w:ind w:left="567"/>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e-mail：</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"mailto:546797358@qq.com"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907400782@qq.com</w:t>
      </w:r>
      <w:r>
        <w:rPr>
          <w:rFonts w:hint="eastAsia" w:ascii="宋体" w:hAnsi="宋体" w:eastAsia="宋体" w:cs="宋体"/>
          <w:color w:val="000000" w:themeColor="text1"/>
          <w14:textFill>
            <w14:solidFill>
              <w14:schemeClr w14:val="tx1"/>
            </w14:solidFill>
          </w14:textFill>
        </w:rPr>
        <w:fldChar w:fldCharType="end"/>
      </w:r>
    </w:p>
    <w:p>
      <w:pPr>
        <w:snapToGrid w:val="0"/>
        <w:spacing w:line="360" w:lineRule="auto"/>
        <w:ind w:left="567"/>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联系人：刘小姐</w:t>
      </w:r>
    </w:p>
    <w:p>
      <w:pPr>
        <w:tabs>
          <w:tab w:val="left" w:pos="425"/>
          <w:tab w:val="left" w:pos="567"/>
        </w:tabs>
        <w:snapToGrid w:val="0"/>
        <w:spacing w:line="360" w:lineRule="auto"/>
        <w:rPr>
          <w:rFonts w:ascii="宋体" w:hAnsi="宋体" w:eastAsia="宋体" w:cs="宋体"/>
          <w:color w:val="000000" w:themeColor="text1"/>
          <w:szCs w:val="21"/>
          <w14:textFill>
            <w14:solidFill>
              <w14:schemeClr w14:val="tx1"/>
            </w14:solidFill>
          </w14:textFill>
        </w:rPr>
      </w:pPr>
    </w:p>
    <w:p>
      <w:pPr>
        <w:pStyle w:val="4"/>
        <w:jc w:val="center"/>
        <w:rPr>
          <w:rFonts w:ascii="宋体" w:hAnsi="宋体" w:eastAsia="宋体" w:cs="宋体"/>
          <w:color w:val="000000" w:themeColor="text1"/>
          <w:szCs w:val="21"/>
          <w14:textFill>
            <w14:solidFill>
              <w14:schemeClr w14:val="tx1"/>
            </w14:solidFill>
          </w14:textFill>
        </w:rPr>
      </w:pPr>
      <w:bookmarkStart w:id="105" w:name="_Toc2682"/>
      <w:r>
        <w:rPr>
          <w:rFonts w:hint="eastAsia" w:ascii="宋体" w:hAnsi="宋体" w:eastAsia="宋体" w:cs="宋体"/>
          <w:bCs w:val="0"/>
          <w:color w:val="000000" w:themeColor="text1"/>
          <w:szCs w:val="21"/>
          <w14:textFill>
            <w14:solidFill>
              <w14:schemeClr w14:val="tx1"/>
            </w14:solidFill>
          </w14:textFill>
        </w:rPr>
        <w:t>（九）</w:t>
      </w:r>
      <w:bookmarkStart w:id="106" w:name="_Toc7372"/>
      <w:r>
        <w:rPr>
          <w:rFonts w:hint="eastAsia" w:ascii="宋体" w:hAnsi="宋体" w:eastAsia="宋体" w:cs="宋体"/>
          <w:bCs w:val="0"/>
          <w:color w:val="000000" w:themeColor="text1"/>
          <w:szCs w:val="21"/>
          <w14:textFill>
            <w14:solidFill>
              <w14:schemeClr w14:val="tx1"/>
            </w14:solidFill>
          </w14:textFill>
        </w:rPr>
        <w:t>关于</w:t>
      </w:r>
      <w:r>
        <w:rPr>
          <w:rFonts w:hint="eastAsia" w:ascii="宋体" w:hAnsi="宋体" w:eastAsia="宋体" w:cs="宋体"/>
          <w:color w:val="000000" w:themeColor="text1"/>
          <w:szCs w:val="21"/>
          <w14:textFill>
            <w14:solidFill>
              <w14:schemeClr w14:val="tx1"/>
            </w14:solidFill>
          </w14:textFill>
        </w:rPr>
        <w:t>投诉</w:t>
      </w:r>
      <w:bookmarkEnd w:id="105"/>
      <w:bookmarkEnd w:id="106"/>
    </w:p>
    <w:p>
      <w:pPr>
        <w:numPr>
          <w:ilvl w:val="0"/>
          <w:numId w:val="12"/>
        </w:numPr>
        <w:snapToGrid w:val="0"/>
        <w:spacing w:line="360" w:lineRule="auto"/>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投诉形式</w:t>
      </w:r>
    </w:p>
    <w:p>
      <w:pPr>
        <w:snapToGrid w:val="0"/>
        <w:spacing w:line="360" w:lineRule="auto"/>
        <w:ind w:firstLine="420" w:firstLineChars="200"/>
        <w:rPr>
          <w:rFonts w:ascii="宋体"/>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质疑供应商对采购人、采购代理机构的质疑答复不满意，或者采购人、采购代理机构未在规定期限内作出答复的，可以在答复期满后15个工作日内向采购人的同级政府采购监督管理部门提起投诉。投诉时，应以书面形式。</w:t>
      </w:r>
    </w:p>
    <w:p>
      <w:pPr>
        <w:snapToGrid w:val="0"/>
        <w:spacing w:line="360" w:lineRule="auto"/>
        <w:ind w:firstLine="420" w:firstLineChars="200"/>
        <w:rPr>
          <w:rFonts w:ascii="宋体"/>
          <w:bCs/>
          <w:color w:val="000000" w:themeColor="text1"/>
          <w:szCs w:val="21"/>
          <w14:textFill>
            <w14:solidFill>
              <w14:schemeClr w14:val="tx1"/>
            </w14:solidFill>
          </w14:textFill>
        </w:rPr>
      </w:pPr>
    </w:p>
    <w:p>
      <w:pPr>
        <w:numPr>
          <w:ilvl w:val="0"/>
          <w:numId w:val="12"/>
        </w:numPr>
        <w:snapToGrid w:val="0"/>
        <w:spacing w:line="360" w:lineRule="auto"/>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投诉联系方式</w:t>
      </w:r>
    </w:p>
    <w:p>
      <w:pPr>
        <w:snapToGrid w:val="0"/>
        <w:spacing w:line="360" w:lineRule="auto"/>
        <w:ind w:firstLine="420" w:firstLineChars="200"/>
        <w:rPr>
          <w:rFonts w:ascii="宋体"/>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受理机构：东莞市政府采购监管科</w:t>
      </w:r>
    </w:p>
    <w:bookmarkEnd w:id="18"/>
    <w:bookmarkEnd w:id="19"/>
    <w:p>
      <w:pPr>
        <w:pStyle w:val="3"/>
        <w:keepNext w:val="0"/>
        <w:keepLines w:val="0"/>
        <w:pageBreakBefore/>
        <w:spacing w:line="360" w:lineRule="auto"/>
        <w:jc w:val="center"/>
        <w:rPr>
          <w:rFonts w:ascii="宋体" w:hAnsi="宋体" w:eastAsia="宋体" w:cs="宋体"/>
          <w:color w:val="000000" w:themeColor="text1"/>
          <w:spacing w:val="20"/>
          <w:sz w:val="32"/>
          <w:szCs w:val="32"/>
          <w14:textFill>
            <w14:solidFill>
              <w14:schemeClr w14:val="tx1"/>
            </w14:solidFill>
          </w14:textFill>
        </w:rPr>
      </w:pPr>
      <w:bookmarkStart w:id="107" w:name="_Toc405313955"/>
      <w:bookmarkStart w:id="108" w:name="_Toc4059"/>
      <w:bookmarkStart w:id="109" w:name="_Toc391627751"/>
      <w:r>
        <w:rPr>
          <w:rFonts w:hint="eastAsia" w:ascii="宋体" w:hAnsi="宋体" w:eastAsia="宋体" w:cs="宋体"/>
          <w:color w:val="000000" w:themeColor="text1"/>
          <w:spacing w:val="20"/>
          <w:sz w:val="32"/>
          <w:szCs w:val="32"/>
          <w14:textFill>
            <w14:solidFill>
              <w14:schemeClr w14:val="tx1"/>
            </w14:solidFill>
          </w14:textFill>
        </w:rPr>
        <w:t>第四部分 评标方法、步骤、标准</w:t>
      </w:r>
      <w:bookmarkEnd w:id="107"/>
      <w:bookmarkEnd w:id="108"/>
      <w:bookmarkEnd w:id="109"/>
    </w:p>
    <w:p>
      <w:pPr>
        <w:spacing w:line="360" w:lineRule="auto"/>
        <w:ind w:firstLine="420" w:firstLineChars="20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根据</w:t>
      </w:r>
      <w:r>
        <w:rPr>
          <w:rFonts w:hint="eastAsia" w:ascii="宋体" w:hAnsi="宋体" w:eastAsia="宋体" w:cs="宋体"/>
          <w:color w:val="000000" w:themeColor="text1"/>
          <w:szCs w:val="21"/>
          <w14:textFill>
            <w14:solidFill>
              <w14:schemeClr w14:val="tx1"/>
            </w14:solidFill>
          </w14:textFill>
        </w:rPr>
        <w:t>《中华人民共和国政府采购法》、《中华人民共和国政府采购法实施条例》、广东省实施《中华人民共和国政府采购法》办法、财政部《政府采购货物和服务招标投标管理办法》</w:t>
      </w:r>
      <w:r>
        <w:rPr>
          <w:rFonts w:hint="eastAsia" w:ascii="宋体" w:hAnsi="宋体" w:eastAsia="宋体" w:cs="宋体"/>
          <w:bCs/>
          <w:color w:val="000000" w:themeColor="text1"/>
          <w:szCs w:val="21"/>
          <w14:textFill>
            <w14:solidFill>
              <w14:schemeClr w14:val="tx1"/>
            </w14:solidFill>
          </w14:textFill>
        </w:rPr>
        <w:t>及相关法律、法规的规定确定以下评标方法、步骤及标准：</w:t>
      </w:r>
    </w:p>
    <w:p>
      <w:pPr>
        <w:spacing w:line="360" w:lineRule="auto"/>
        <w:ind w:firstLine="420" w:firstLineChars="200"/>
        <w:rPr>
          <w:rFonts w:ascii="宋体" w:hAnsi="宋体" w:eastAsia="宋体" w:cs="宋体"/>
          <w:bCs/>
          <w:color w:val="000000" w:themeColor="text1"/>
          <w:szCs w:val="21"/>
          <w14:textFill>
            <w14:solidFill>
              <w14:schemeClr w14:val="tx1"/>
            </w14:solidFill>
          </w14:textFill>
        </w:rPr>
      </w:pPr>
    </w:p>
    <w:p>
      <w:pPr>
        <w:numPr>
          <w:ilvl w:val="0"/>
          <w:numId w:val="20"/>
        </w:numPr>
        <w:snapToGrid w:val="0"/>
        <w:spacing w:line="360" w:lineRule="auto"/>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评标</w:t>
      </w:r>
      <w:r>
        <w:rPr>
          <w:rFonts w:hint="eastAsia" w:ascii="宋体" w:hAnsi="宋体" w:eastAsia="宋体" w:cs="宋体"/>
          <w:b/>
          <w:color w:val="000000" w:themeColor="text1"/>
          <w14:textFill>
            <w14:solidFill>
              <w14:schemeClr w14:val="tx1"/>
            </w14:solidFill>
          </w14:textFill>
        </w:rPr>
        <w:t>委员会</w:t>
      </w:r>
    </w:p>
    <w:p>
      <w:pPr>
        <w:pStyle w:val="29"/>
        <w:numPr>
          <w:ilvl w:val="0"/>
          <w:numId w:val="21"/>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本次招标依法组建评标委员会。</w:t>
      </w:r>
    </w:p>
    <w:p>
      <w:pPr>
        <w:pStyle w:val="29"/>
        <w:numPr>
          <w:ilvl w:val="0"/>
          <w:numId w:val="21"/>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评审专家（不含采购人代表）有下列情形之一的，受到邀请应主动提出回避，采购当事人也可以要求该评审专家回避：</w:t>
      </w:r>
    </w:p>
    <w:p>
      <w:pPr>
        <w:pStyle w:val="29"/>
        <w:numPr>
          <w:ilvl w:val="0"/>
          <w:numId w:val="22"/>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三年内在参加该采购项目供应商中任职（包括一般工作）或担任顾问的；</w:t>
      </w:r>
    </w:p>
    <w:p>
      <w:pPr>
        <w:pStyle w:val="29"/>
        <w:numPr>
          <w:ilvl w:val="0"/>
          <w:numId w:val="22"/>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配偶或直系亲属在参加该采购项目的供应商中任职或担任顾问的；</w:t>
      </w:r>
    </w:p>
    <w:p>
      <w:pPr>
        <w:pStyle w:val="29"/>
        <w:numPr>
          <w:ilvl w:val="0"/>
          <w:numId w:val="22"/>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与参加该采购项目供应商发生过法律纠纷的；</w:t>
      </w:r>
    </w:p>
    <w:p>
      <w:pPr>
        <w:pStyle w:val="29"/>
        <w:numPr>
          <w:ilvl w:val="0"/>
          <w:numId w:val="22"/>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参与招标文件论证的；</w:t>
      </w:r>
    </w:p>
    <w:p>
      <w:pPr>
        <w:pStyle w:val="29"/>
        <w:numPr>
          <w:ilvl w:val="0"/>
          <w:numId w:val="22"/>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其他可能影响公正评标的情况的。</w:t>
      </w:r>
    </w:p>
    <w:p>
      <w:pPr>
        <w:pStyle w:val="29"/>
        <w:numPr>
          <w:ilvl w:val="0"/>
          <w:numId w:val="21"/>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评标委员会将按照招标文件确定的评标方法进行评标。对招标文件中描述有歧义或前后不一致的地方，评标委员会有权按法律法规的规定进行评判，但对同一条款的评判应适用于每个投标人。</w:t>
      </w:r>
    </w:p>
    <w:p>
      <w:pPr>
        <w:pStyle w:val="29"/>
        <w:numPr>
          <w:ilvl w:val="0"/>
          <w:numId w:val="21"/>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p>
      <w:pPr>
        <w:pStyle w:val="29"/>
        <w:numPr>
          <w:ilvl w:val="0"/>
          <w:numId w:val="21"/>
        </w:numPr>
        <w:spacing w:line="360" w:lineRule="auto"/>
        <w:ind w:firstLineChars="0"/>
        <w:rPr>
          <w:rFonts w:ascii="宋体" w:hAnsi="宋体" w:eastAsia="宋体" w:cs="宋体"/>
          <w:bCs/>
          <w:color w:val="000000" w:themeColor="text1"/>
          <w:spacing w:val="-4"/>
          <w:szCs w:val="21"/>
          <w14:textFill>
            <w14:solidFill>
              <w14:schemeClr w14:val="tx1"/>
            </w14:solidFill>
          </w14:textFill>
        </w:rPr>
      </w:pPr>
      <w:r>
        <w:rPr>
          <w:rFonts w:hint="eastAsia" w:ascii="宋体" w:hAnsi="宋体" w:eastAsia="宋体" w:cs="宋体"/>
          <w:bCs/>
          <w:color w:val="000000" w:themeColor="text1"/>
          <w:spacing w:val="-4"/>
          <w:szCs w:val="21"/>
          <w14:textFill>
            <w14:solidFill>
              <w14:schemeClr w14:val="tx1"/>
            </w14:solidFill>
          </w14:textFill>
        </w:rPr>
        <w:t>参与评标工作的所有人员必须遵守</w:t>
      </w:r>
      <w:r>
        <w:rPr>
          <w:rFonts w:hint="eastAsia" w:ascii="宋体" w:hAnsi="宋体" w:eastAsia="宋体" w:cs="宋体"/>
          <w:color w:val="000000" w:themeColor="text1"/>
          <w:spacing w:val="-4"/>
          <w:szCs w:val="21"/>
          <w14:textFill>
            <w14:solidFill>
              <w14:schemeClr w14:val="tx1"/>
            </w14:solidFill>
          </w14:textFill>
        </w:rPr>
        <w:t>《中华人民共和国政府采购法》、《中华人民共和国政府采购法实施条例》、广东省实施《中华人民共和国政府采购法》办法、财政部《政府采购货物和服务招标投标管理办法》</w:t>
      </w:r>
      <w:r>
        <w:rPr>
          <w:rFonts w:hint="eastAsia" w:ascii="宋体" w:hAnsi="宋体" w:eastAsia="宋体" w:cs="宋体"/>
          <w:bCs/>
          <w:color w:val="000000" w:themeColor="text1"/>
          <w:spacing w:val="-4"/>
          <w:szCs w:val="21"/>
          <w14:textFill>
            <w14:solidFill>
              <w14:schemeClr w14:val="tx1"/>
            </w14:solidFill>
          </w14:textFill>
        </w:rPr>
        <w:t>及相关法律、法规的规定，以确保评标的公平、公正。</w:t>
      </w:r>
    </w:p>
    <w:p>
      <w:pPr>
        <w:pStyle w:val="29"/>
        <w:spacing w:line="360" w:lineRule="auto"/>
        <w:ind w:firstLine="0" w:firstLineChars="0"/>
        <w:rPr>
          <w:rFonts w:ascii="宋体" w:hAnsi="宋体" w:eastAsia="宋体" w:cs="宋体"/>
          <w:bCs/>
          <w:color w:val="000000" w:themeColor="text1"/>
          <w:spacing w:val="-4"/>
          <w:szCs w:val="21"/>
          <w14:textFill>
            <w14:solidFill>
              <w14:schemeClr w14:val="tx1"/>
            </w14:solidFill>
          </w14:textFill>
        </w:rPr>
      </w:pPr>
    </w:p>
    <w:p>
      <w:pPr>
        <w:numPr>
          <w:ilvl w:val="0"/>
          <w:numId w:val="20"/>
        </w:numPr>
        <w:snapToGrid w:val="0"/>
        <w:spacing w:line="360" w:lineRule="auto"/>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评标方法</w:t>
      </w:r>
    </w:p>
    <w:p>
      <w:pPr>
        <w:pStyle w:val="29"/>
        <w:numPr>
          <w:ilvl w:val="0"/>
          <w:numId w:val="23"/>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本次评标采用</w:t>
      </w:r>
      <w:r>
        <w:rPr>
          <w:rFonts w:hint="eastAsia" w:ascii="宋体" w:hAnsi="宋体" w:eastAsia="宋体" w:cs="宋体"/>
          <w:b/>
          <w:bCs/>
          <w:color w:val="000000" w:themeColor="text1"/>
          <w:szCs w:val="21"/>
          <w14:textFill>
            <w14:solidFill>
              <w14:schemeClr w14:val="tx1"/>
            </w14:solidFill>
          </w14:textFill>
        </w:rPr>
        <w:t>综合评分法</w:t>
      </w:r>
      <w:r>
        <w:rPr>
          <w:rFonts w:hint="eastAsia" w:ascii="宋体" w:hAnsi="宋体" w:eastAsia="宋体" w:cs="宋体"/>
          <w:bCs/>
          <w:color w:val="000000" w:themeColor="text1"/>
          <w:szCs w:val="21"/>
          <w14:textFill>
            <w14:solidFill>
              <w14:schemeClr w14:val="tx1"/>
            </w14:solidFill>
          </w14:textFill>
        </w:rPr>
        <w:t>；各项得分按四舍五入原则精确到小数点后两位。</w:t>
      </w:r>
    </w:p>
    <w:p>
      <w:pPr>
        <w:pStyle w:val="29"/>
        <w:numPr>
          <w:ilvl w:val="0"/>
          <w:numId w:val="23"/>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本次评标是以招标文件为依据，按公正、科学、客观、平等竞争的要求，推荐技术先进、报价合理、经验丰富、信誉良好、售后服务好以及综合实力强的中标人。</w:t>
      </w:r>
    </w:p>
    <w:p>
      <w:pPr>
        <w:pStyle w:val="29"/>
        <w:spacing w:line="360" w:lineRule="auto"/>
        <w:ind w:firstLine="0" w:firstLineChars="0"/>
        <w:rPr>
          <w:rFonts w:ascii="宋体" w:hAnsi="宋体" w:eastAsia="宋体" w:cs="宋体"/>
          <w:bCs/>
          <w:color w:val="000000" w:themeColor="text1"/>
          <w:szCs w:val="21"/>
          <w14:textFill>
            <w14:solidFill>
              <w14:schemeClr w14:val="tx1"/>
            </w14:solidFill>
          </w14:textFill>
        </w:rPr>
      </w:pPr>
    </w:p>
    <w:p>
      <w:pPr>
        <w:numPr>
          <w:ilvl w:val="0"/>
          <w:numId w:val="20"/>
        </w:numPr>
        <w:snapToGrid w:val="0"/>
        <w:spacing w:line="360" w:lineRule="auto"/>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评标步骤</w:t>
      </w:r>
    </w:p>
    <w:p>
      <w:pPr>
        <w:pStyle w:val="29"/>
        <w:numPr>
          <w:ilvl w:val="0"/>
          <w:numId w:val="24"/>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采购人或采购代理机构先对投标人进行资格性审查（附表一），通过资格性审查的投标人由评标委员会对其投标文件进行符合性评审，再进行商务、技术及价格的详细评审。只有通过符合性审查的投标才能进入详细的评审和价格初步审查，而通过价格初步审查的投标人才能接受价格评分及参与综合得分排名。最后评标委员会出具评标报告，并排序推荐二名中标候选人。</w:t>
      </w:r>
    </w:p>
    <w:p>
      <w:pPr>
        <w:pStyle w:val="29"/>
        <w:spacing w:line="360" w:lineRule="auto"/>
        <w:ind w:firstLine="0" w:firstLineChars="0"/>
        <w:rPr>
          <w:rFonts w:ascii="宋体" w:hAnsi="宋体" w:eastAsia="宋体" w:cs="宋体"/>
          <w:bCs/>
          <w:color w:val="000000" w:themeColor="text1"/>
          <w:szCs w:val="21"/>
          <w14:textFill>
            <w14:solidFill>
              <w14:schemeClr w14:val="tx1"/>
            </w14:solidFill>
          </w14:textFill>
        </w:rPr>
      </w:pPr>
    </w:p>
    <w:p>
      <w:pPr>
        <w:numPr>
          <w:ilvl w:val="0"/>
          <w:numId w:val="20"/>
        </w:numPr>
        <w:snapToGrid w:val="0"/>
        <w:spacing w:line="360" w:lineRule="auto"/>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评分及其统计</w:t>
      </w:r>
    </w:p>
    <w:p>
      <w:pPr>
        <w:pStyle w:val="29"/>
        <w:numPr>
          <w:ilvl w:val="0"/>
          <w:numId w:val="25"/>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按照评标程序、评分标准以及权重分配的规定，评标委员会各成员分别首先就各个投标人的商务状况、技术状况及其对招标文件要求的响应情况进行评议和比较，评出其商务评分和技术评分。各评委商务或技术评分的算术平均值即为该投标人的商务或技术得分。然后，评出投标人的价格得分。将各投标人的商务得分、技术得分和价格得分相加得出其综合得分；将各综合得分由高到低顺序排列，综合得分最高的投标人为第一中标候选人，综合得分次高的投标人为第二中标候选人，以此类推。</w:t>
      </w:r>
    </w:p>
    <w:p>
      <w:pPr>
        <w:pStyle w:val="29"/>
        <w:spacing w:line="360" w:lineRule="auto"/>
        <w:ind w:firstLine="0" w:firstLineChars="0"/>
        <w:rPr>
          <w:rFonts w:ascii="宋体" w:hAnsi="宋体" w:eastAsia="宋体" w:cs="宋体"/>
          <w:bCs/>
          <w:color w:val="000000" w:themeColor="text1"/>
          <w:szCs w:val="21"/>
          <w14:textFill>
            <w14:solidFill>
              <w14:schemeClr w14:val="tx1"/>
            </w14:solidFill>
          </w14:textFill>
        </w:rPr>
      </w:pPr>
    </w:p>
    <w:p>
      <w:pPr>
        <w:numPr>
          <w:ilvl w:val="0"/>
          <w:numId w:val="20"/>
        </w:numPr>
        <w:snapToGrid w:val="0"/>
        <w:spacing w:line="360" w:lineRule="auto"/>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评标委员会按照《符合性审查表》内容对投标文件进行符合性审查，只有对《符合性审查表》所列各项作出实质性响应的投标文件才能通过符合性审查。对是否实质性响应招标文件的要求有争议的投标，评标委员会将以记名方式表决，被认为响应的得票超过半数的投标人有资格进入下一阶段的评审，否则将被淘汰。</w:t>
      </w:r>
    </w:p>
    <w:p>
      <w:pPr>
        <w:snapToGrid w:val="0"/>
        <w:spacing w:line="360" w:lineRule="auto"/>
        <w:rPr>
          <w:rFonts w:ascii="宋体" w:hAnsi="宋体" w:eastAsia="宋体" w:cs="宋体"/>
          <w:bCs/>
          <w:color w:val="000000" w:themeColor="text1"/>
          <w:szCs w:val="21"/>
          <w14:textFill>
            <w14:solidFill>
              <w14:schemeClr w14:val="tx1"/>
            </w14:solidFill>
          </w14:textFill>
        </w:rPr>
      </w:pPr>
    </w:p>
    <w:p>
      <w:pPr>
        <w:numPr>
          <w:ilvl w:val="0"/>
          <w:numId w:val="20"/>
        </w:numPr>
        <w:snapToGrid w:val="0"/>
        <w:spacing w:line="360" w:lineRule="auto"/>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无效投标的认定</w:t>
      </w:r>
    </w:p>
    <w:p>
      <w:pPr>
        <w:pStyle w:val="29"/>
        <w:numPr>
          <w:ilvl w:val="0"/>
          <w:numId w:val="26"/>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按《资格性审查表》（附表一）和《符合性审查表》（附表二）所列各项，投标文件不满足招标文件要求的，将被认定为无效投标。</w:t>
      </w:r>
    </w:p>
    <w:p>
      <w:pPr>
        <w:pStyle w:val="29"/>
        <w:spacing w:line="360" w:lineRule="auto"/>
        <w:ind w:firstLine="0" w:firstLineChars="0"/>
        <w:rPr>
          <w:rFonts w:ascii="宋体" w:hAnsi="宋体" w:eastAsia="宋体" w:cs="宋体"/>
          <w:bCs/>
          <w:color w:val="000000" w:themeColor="text1"/>
          <w:szCs w:val="21"/>
          <w14:textFill>
            <w14:solidFill>
              <w14:schemeClr w14:val="tx1"/>
            </w14:solidFill>
          </w14:textFill>
        </w:rPr>
      </w:pPr>
    </w:p>
    <w:p>
      <w:pPr>
        <w:numPr>
          <w:ilvl w:val="0"/>
          <w:numId w:val="20"/>
        </w:numPr>
        <w:snapToGrid w:val="0"/>
        <w:spacing w:line="360" w:lineRule="auto"/>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详细评审是对通过初步评审的投标进行商务、技术(服务方案)的评审。</w:t>
      </w:r>
    </w:p>
    <w:p>
      <w:pPr>
        <w:pStyle w:val="29"/>
        <w:numPr>
          <w:ilvl w:val="0"/>
          <w:numId w:val="27"/>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商务评分：评标委员会就投标人对商务响应表中各项条款的响应程度、履约能力、服务业绩、供应商信誉（如银行信用、合同信用）、售后服务承诺等因素进行评分，各因素所占权重见《商务评审细则》（附表三），评分统计按本评标方法4-1）条规定进行。</w:t>
      </w:r>
    </w:p>
    <w:p>
      <w:pPr>
        <w:pStyle w:val="29"/>
        <w:numPr>
          <w:ilvl w:val="0"/>
          <w:numId w:val="27"/>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技术(服务方案)评分：评标委员会就投标人对技术响应表中各项要求的响应程度、对本项目提出的服务方案（包括人力、物力、技术力量以及对服务内容的理解、具体实施的计划、方法、质量保证措施、成果提交等）满足用户需求书的情况进行评分，各因素所占权重见《技术评审细则》（附表三），评分统计方法如前所述。</w:t>
      </w:r>
    </w:p>
    <w:p>
      <w:pPr>
        <w:pStyle w:val="29"/>
        <w:spacing w:line="360" w:lineRule="auto"/>
        <w:ind w:firstLine="0" w:firstLineChars="0"/>
        <w:rPr>
          <w:rFonts w:ascii="宋体" w:hAnsi="宋体" w:eastAsia="宋体" w:cs="宋体"/>
          <w:bCs/>
          <w:color w:val="000000" w:themeColor="text1"/>
          <w:szCs w:val="21"/>
          <w14:textFill>
            <w14:solidFill>
              <w14:schemeClr w14:val="tx1"/>
            </w14:solidFill>
          </w14:textFill>
        </w:rPr>
      </w:pPr>
    </w:p>
    <w:p>
      <w:pPr>
        <w:numPr>
          <w:ilvl w:val="0"/>
          <w:numId w:val="20"/>
        </w:numPr>
        <w:snapToGrid w:val="0"/>
        <w:spacing w:line="360" w:lineRule="auto"/>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投标文件报价出现前后不一致的，按照下列规定修正：</w:t>
      </w:r>
    </w:p>
    <w:p>
      <w:pPr>
        <w:pStyle w:val="29"/>
        <w:numPr>
          <w:ilvl w:val="0"/>
          <w:numId w:val="28"/>
        </w:numPr>
        <w:tabs>
          <w:tab w:val="left" w:pos="426"/>
        </w:tabs>
        <w:spacing w:line="360" w:lineRule="auto"/>
        <w:ind w:left="426" w:hanging="426"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投标文件中开标一览表（报价表）内容与投标文件中相应内容不一致的，以开标一览表（报价表）为准；</w:t>
      </w:r>
    </w:p>
    <w:p>
      <w:pPr>
        <w:pStyle w:val="29"/>
        <w:numPr>
          <w:ilvl w:val="0"/>
          <w:numId w:val="28"/>
        </w:numPr>
        <w:tabs>
          <w:tab w:val="left" w:pos="426"/>
        </w:tabs>
        <w:spacing w:line="360" w:lineRule="auto"/>
        <w:ind w:left="426" w:hanging="426"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大写金额和小写金额不一致的，以大写金额为准；</w:t>
      </w:r>
    </w:p>
    <w:p>
      <w:pPr>
        <w:pStyle w:val="29"/>
        <w:numPr>
          <w:ilvl w:val="0"/>
          <w:numId w:val="28"/>
        </w:numPr>
        <w:tabs>
          <w:tab w:val="left" w:pos="426"/>
        </w:tabs>
        <w:spacing w:line="360" w:lineRule="auto"/>
        <w:ind w:left="426" w:hanging="426"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单价金额小数点或者百分比有明显错位的，以开标一览表的总价为准，并修改单价；</w:t>
      </w:r>
    </w:p>
    <w:p>
      <w:pPr>
        <w:pStyle w:val="29"/>
        <w:numPr>
          <w:ilvl w:val="0"/>
          <w:numId w:val="28"/>
        </w:numPr>
        <w:tabs>
          <w:tab w:val="left" w:pos="426"/>
        </w:tabs>
        <w:spacing w:line="360" w:lineRule="auto"/>
        <w:ind w:left="426" w:hanging="426"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总价金额与按单价汇总金额不一致的，以单价金额计算结果为准。</w:t>
      </w:r>
    </w:p>
    <w:p>
      <w:pPr>
        <w:pStyle w:val="29"/>
        <w:tabs>
          <w:tab w:val="left" w:pos="426"/>
        </w:tabs>
        <w:spacing w:line="360" w:lineRule="auto"/>
        <w:ind w:firstLine="0" w:firstLineChars="0"/>
        <w:rPr>
          <w:rFonts w:ascii="宋体" w:hAnsi="宋体" w:eastAsia="宋体" w:cs="宋体"/>
          <w:bCs/>
          <w:color w:val="000000" w:themeColor="text1"/>
          <w:szCs w:val="21"/>
          <w14:textFill>
            <w14:solidFill>
              <w14:schemeClr w14:val="tx1"/>
            </w14:solidFill>
          </w14:textFill>
        </w:rPr>
      </w:pPr>
    </w:p>
    <w:p>
      <w:pPr>
        <w:numPr>
          <w:ilvl w:val="0"/>
          <w:numId w:val="20"/>
        </w:numPr>
        <w:spacing w:line="360" w:lineRule="auto"/>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9"/>
        <w:adjustRightInd w:val="0"/>
        <w:snapToGrid w:val="0"/>
        <w:spacing w:line="360" w:lineRule="auto"/>
        <w:ind w:firstLine="0" w:firstLineChars="0"/>
        <w:rPr>
          <w:rFonts w:ascii="宋体" w:hAnsi="宋体" w:eastAsia="宋体" w:cs="宋体"/>
          <w:bCs/>
          <w:color w:val="000000" w:themeColor="text1"/>
          <w:szCs w:val="21"/>
          <w14:textFill>
            <w14:solidFill>
              <w14:schemeClr w14:val="tx1"/>
            </w14:solidFill>
          </w14:textFill>
        </w:rPr>
      </w:pPr>
    </w:p>
    <w:p>
      <w:pPr>
        <w:numPr>
          <w:ilvl w:val="0"/>
          <w:numId w:val="20"/>
        </w:numPr>
        <w:snapToGrid w:val="0"/>
        <w:spacing w:line="360" w:lineRule="auto"/>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价格评分</w:t>
      </w:r>
    </w:p>
    <w:p>
      <w:pPr>
        <w:pStyle w:val="29"/>
        <w:numPr>
          <w:ilvl w:val="0"/>
          <w:numId w:val="29"/>
        </w:numPr>
        <w:spacing w:line="360" w:lineRule="auto"/>
        <w:ind w:firstLineChars="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对小型或微型企业投标的扶持</w:t>
      </w:r>
    </w:p>
    <w:p>
      <w:pPr>
        <w:pStyle w:val="29"/>
        <w:numPr>
          <w:ilvl w:val="0"/>
          <w:numId w:val="30"/>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根据财政部、工业和信息化部制定《政府采购促进中小企业发展暂行办法》的规定，对于非专门面向中小企业的项目，小型或微型企业制造的货物、承担的工程或者服务的价格给予一定比例扣除，用扣除后的价格参与评审。参加政府采购活动的中小企业应当提供《中小企业声明函》（格式详见招标文件第六部分投标文件格式）；</w:t>
      </w:r>
    </w:p>
    <w:p>
      <w:pPr>
        <w:pStyle w:val="29"/>
        <w:numPr>
          <w:ilvl w:val="0"/>
          <w:numId w:val="29"/>
        </w:numPr>
        <w:spacing w:line="360" w:lineRule="auto"/>
        <w:ind w:firstLineChars="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对监狱企业投标的扶持</w:t>
      </w:r>
    </w:p>
    <w:p>
      <w:pPr>
        <w:pStyle w:val="29"/>
        <w:numPr>
          <w:ilvl w:val="0"/>
          <w:numId w:val="31"/>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为发挥政府采购支持监狱企业发展的作用，根据《关于政府采购支持监狱企业发展有关问题的通知》（财库[2014]68号）的规定，监狱企业视同小型、微型企业，享受一定比例的价格折扣优惠，用扣除后的价格作为其参与评审的价格。监狱企业参加政府采购活动时，应当提供由省级或以上监狱管理局、戒毒管理局（含新疆生产建设兵团）出具的属于监狱企业的证明文件，否则不予认可。（格式详见招标文件第六部分投标文件格式）</w:t>
      </w:r>
    </w:p>
    <w:p>
      <w:pPr>
        <w:pStyle w:val="29"/>
        <w:numPr>
          <w:ilvl w:val="0"/>
          <w:numId w:val="29"/>
        </w:numPr>
        <w:spacing w:line="360" w:lineRule="auto"/>
        <w:ind w:firstLineChars="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对残疾人福利性单位投标的扶持</w:t>
      </w:r>
    </w:p>
    <w:p>
      <w:pPr>
        <w:pStyle w:val="29"/>
        <w:numPr>
          <w:ilvl w:val="0"/>
          <w:numId w:val="32"/>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为了发挥政府采购促进残疾人就业的作用，根据财政部 民政部 中国残疾人联合会《关于促进残疾人就业政府采购政策的通知》（财库[2017]41号）的规定，残疾人福利性单位视同小型、微型企业，享受一定比例的价格折扣优惠，用扣除后的价格作为其参与评审的价格。参加政府采购活动的残疾人福利性单位应当提供《残疾人福利性单位声明函》（格式详见招标文件第六部分投标文件格式）；</w:t>
      </w:r>
    </w:p>
    <w:p>
      <w:pPr>
        <w:spacing w:line="360" w:lineRule="auto"/>
        <w:ind w:firstLine="420" w:firstLineChars="20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供应商为监狱企业、残疾人福利性单位参与投标视为中小型企业，小型或者微型企业且投标产品含小型或微型企业产品时，其价格给予6%的扣除，即评标价格=投标报价-小型或微型企业产品投标报价×6%；</w:t>
      </w:r>
    </w:p>
    <w:p>
      <w:pPr>
        <w:spacing w:line="360" w:lineRule="auto"/>
        <w:ind w:firstLine="420" w:firstLineChars="20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大中型企业或其他组织与小型或微型企业组成联合体共同参加非专门面向中小企业的政府采购活动。联合协议中约定，小型或微型企业的协议合同金额占到联合体协议合同总额30%以上的，其价格给予2%的扣除，即评标价格=联合体投标报价-联合体投标报价×2%。联合体各方均为小型或微型企业的按照中小企业规定给予价格扣除。</w:t>
      </w:r>
    </w:p>
    <w:p>
      <w:pPr>
        <w:pStyle w:val="29"/>
        <w:numPr>
          <w:ilvl w:val="0"/>
          <w:numId w:val="29"/>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根据评标委员会按招标文件规定条款的原则，将校核修正后的各投标人的投标报价定义为评标价格。取各评标价格的最低价作为评标基准价格，其价格得分为满分30分。各投标人的价格评分按以下公式计算：</w:t>
      </w:r>
    </w:p>
    <w:p>
      <w:pPr>
        <w:pStyle w:val="29"/>
        <w:spacing w:line="360" w:lineRule="auto"/>
        <w:ind w:left="420" w:firstLine="0" w:firstLineChars="0"/>
        <w:jc w:val="left"/>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投标人价格得分=(评标基准价／投标报价)×30</w:t>
      </w:r>
    </w:p>
    <w:p>
      <w:pPr>
        <w:pStyle w:val="29"/>
        <w:spacing w:line="360" w:lineRule="auto"/>
        <w:ind w:left="420" w:firstLine="0" w:firstLineChars="0"/>
        <w:jc w:val="left"/>
        <w:rPr>
          <w:rFonts w:ascii="宋体" w:hAnsi="宋体" w:eastAsia="宋体" w:cs="宋体"/>
          <w:bCs/>
          <w:color w:val="000000" w:themeColor="text1"/>
          <w:szCs w:val="21"/>
          <w14:textFill>
            <w14:solidFill>
              <w14:schemeClr w14:val="tx1"/>
            </w14:solidFill>
          </w14:textFill>
        </w:rPr>
      </w:pPr>
    </w:p>
    <w:p>
      <w:pPr>
        <w:numPr>
          <w:ilvl w:val="0"/>
          <w:numId w:val="20"/>
        </w:numPr>
        <w:snapToGrid w:val="0"/>
        <w:spacing w:line="360" w:lineRule="auto"/>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商务技术及价格评分分值分配</w:t>
      </w:r>
    </w:p>
    <w:tbl>
      <w:tblPr>
        <w:tblStyle w:val="20"/>
        <w:tblW w:w="852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78"/>
        <w:gridCol w:w="1929"/>
        <w:gridCol w:w="2403"/>
        <w:gridCol w:w="21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2078" w:type="dxa"/>
            <w:vAlign w:val="center"/>
          </w:tcPr>
          <w:p>
            <w:pPr>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评分项目</w:t>
            </w:r>
          </w:p>
        </w:tc>
        <w:tc>
          <w:tcPr>
            <w:tcW w:w="1929" w:type="dxa"/>
            <w:vAlign w:val="center"/>
          </w:tcPr>
          <w:p>
            <w:pPr>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价格部分</w:t>
            </w:r>
          </w:p>
        </w:tc>
        <w:tc>
          <w:tcPr>
            <w:tcW w:w="2403" w:type="dxa"/>
            <w:vAlign w:val="center"/>
          </w:tcPr>
          <w:p>
            <w:pPr>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商务部分</w:t>
            </w:r>
          </w:p>
        </w:tc>
        <w:tc>
          <w:tcPr>
            <w:tcW w:w="2118" w:type="dxa"/>
            <w:vAlign w:val="center"/>
          </w:tcPr>
          <w:p>
            <w:pPr>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技术部分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2078" w:type="dxa"/>
            <w:vAlign w:val="center"/>
          </w:tcPr>
          <w:p>
            <w:pPr>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分值</w:t>
            </w:r>
          </w:p>
        </w:tc>
        <w:tc>
          <w:tcPr>
            <w:tcW w:w="1929" w:type="dxa"/>
            <w:vAlign w:val="center"/>
          </w:tcPr>
          <w:p>
            <w:pPr>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30分</w:t>
            </w:r>
          </w:p>
        </w:tc>
        <w:tc>
          <w:tcPr>
            <w:tcW w:w="2403" w:type="dxa"/>
            <w:vAlign w:val="center"/>
          </w:tcPr>
          <w:p>
            <w:pPr>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30分</w:t>
            </w:r>
          </w:p>
        </w:tc>
        <w:tc>
          <w:tcPr>
            <w:tcW w:w="2118" w:type="dxa"/>
            <w:vAlign w:val="center"/>
          </w:tcPr>
          <w:p>
            <w:pPr>
              <w:jc w:val="center"/>
              <w:rPr>
                <w:rFonts w:ascii="宋体" w:hAnsi="宋体" w:eastAsia="宋体" w:cs="宋体"/>
                <w:i/>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40分</w:t>
            </w:r>
          </w:p>
        </w:tc>
      </w:tr>
    </w:tbl>
    <w:p>
      <w:pPr>
        <w:pStyle w:val="29"/>
        <w:numPr>
          <w:ilvl w:val="0"/>
          <w:numId w:val="33"/>
        </w:numPr>
        <w:spacing w:before="156" w:beforeLines="50"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综合得分＝商务得分＋技术得分＋价格得分</w:t>
      </w:r>
    </w:p>
    <w:p>
      <w:pPr>
        <w:pStyle w:val="29"/>
        <w:spacing w:before="156" w:beforeLines="50" w:line="360" w:lineRule="auto"/>
        <w:ind w:firstLine="0" w:firstLineChars="0"/>
        <w:rPr>
          <w:rFonts w:ascii="宋体" w:hAnsi="宋体" w:eastAsia="宋体" w:cs="宋体"/>
          <w:bCs/>
          <w:color w:val="000000" w:themeColor="text1"/>
          <w:szCs w:val="21"/>
          <w14:textFill>
            <w14:solidFill>
              <w14:schemeClr w14:val="tx1"/>
            </w14:solidFill>
          </w14:textFill>
        </w:rPr>
      </w:pPr>
    </w:p>
    <w:p>
      <w:pPr>
        <w:numPr>
          <w:ilvl w:val="0"/>
          <w:numId w:val="20"/>
        </w:numPr>
        <w:snapToGrid w:val="0"/>
        <w:spacing w:line="360" w:lineRule="auto"/>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中标候选人</w:t>
      </w:r>
    </w:p>
    <w:p>
      <w:pPr>
        <w:pStyle w:val="29"/>
        <w:numPr>
          <w:ilvl w:val="0"/>
          <w:numId w:val="34"/>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评标委员会将出具评标报告，并排序推荐二名中标候选人。</w:t>
      </w:r>
    </w:p>
    <w:p>
      <w:pPr>
        <w:pStyle w:val="29"/>
        <w:numPr>
          <w:ilvl w:val="0"/>
          <w:numId w:val="35"/>
        </w:numPr>
        <w:spacing w:line="360" w:lineRule="auto"/>
        <w:ind w:firstLineChars="0"/>
        <w:rPr>
          <w:rFonts w:ascii="宋体" w:hAnsi="宋体" w:eastAsia="宋体" w:cs="宋体"/>
          <w:bCs/>
          <w:color w:val="000000" w:themeColor="text1"/>
          <w:spacing w:val="-2"/>
          <w:szCs w:val="21"/>
          <w14:textFill>
            <w14:solidFill>
              <w14:schemeClr w14:val="tx1"/>
            </w14:solidFill>
          </w14:textFill>
        </w:rPr>
      </w:pPr>
      <w:r>
        <w:rPr>
          <w:rFonts w:hint="eastAsia" w:ascii="宋体" w:hAnsi="宋体" w:eastAsia="宋体" w:cs="宋体"/>
          <w:bCs/>
          <w:color w:val="000000" w:themeColor="text1"/>
          <w:spacing w:val="-2"/>
          <w:szCs w:val="21"/>
          <w14:textFill>
            <w14:solidFill>
              <w14:schemeClr w14:val="tx1"/>
            </w14:solidFill>
          </w14:textFill>
        </w:rPr>
        <w:t>推荐中标候选投标人名单：本项目推荐二名中标候选人。将各有效投标人的综合得分由高到低顺序排列。综合得分相同的，按下列顺序比较确定：①投标报价（由低到高）；②技术评分（由高到低）；③商务评分（由高到低）。如以上都相同的，名次由评标委员会抽签确定。排名第一的投标人为第一中标候选人，排名第二的投标人为第二中标候选人。</w:t>
      </w:r>
    </w:p>
    <w:p>
      <w:pPr>
        <w:pStyle w:val="29"/>
        <w:numPr>
          <w:ilvl w:val="0"/>
          <w:numId w:val="35"/>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如果推荐的第一中标候选人放弃中标资格，或因不可抗力无法签订合同，则采购人可按推荐的中标候选人排名顺序依次确定中标人，亦可决定组织重新招标。</w:t>
      </w:r>
    </w:p>
    <w:p>
      <w:pPr>
        <w:pStyle w:val="29"/>
        <w:numPr>
          <w:ilvl w:val="0"/>
          <w:numId w:val="35"/>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如果推荐的第一中标候选人在合同签订前经采购人查证、或以其他方式取证证实其投标资料造假而被取消中标资格的，则采购人可按推荐的中标候选人排名顺序依次确定中标人，亦可决定组织重新招标。</w:t>
      </w:r>
    </w:p>
    <w:p>
      <w:pPr>
        <w:pStyle w:val="29"/>
        <w:numPr>
          <w:ilvl w:val="0"/>
          <w:numId w:val="35"/>
        </w:numPr>
        <w:spacing w:line="360" w:lineRule="auto"/>
        <w:ind w:firstLineChars="0"/>
        <w:rPr>
          <w:rFonts w:ascii="宋体" w:hAnsi="宋体" w:eastAsia="宋体" w:cs="宋体"/>
          <w:bCs/>
          <w:color w:val="000000" w:themeColor="text1"/>
          <w:spacing w:val="-6"/>
          <w:szCs w:val="21"/>
          <w14:textFill>
            <w14:solidFill>
              <w14:schemeClr w14:val="tx1"/>
            </w14:solidFill>
          </w14:textFill>
        </w:rPr>
      </w:pPr>
      <w:r>
        <w:rPr>
          <w:rFonts w:hint="eastAsia" w:ascii="宋体" w:hAnsi="宋体" w:eastAsia="宋体" w:cs="宋体"/>
          <w:bCs/>
          <w:color w:val="000000" w:themeColor="text1"/>
          <w:spacing w:val="-6"/>
          <w:szCs w:val="21"/>
          <w14:textFill>
            <w14:solidFill>
              <w14:schemeClr w14:val="tx1"/>
            </w14:solidFill>
          </w14:textFill>
        </w:rPr>
        <w:t>中标价的确定：中标价以开标时公开唱读额为准；如有缺项、漏项，视为已包含在中标价中。</w:t>
      </w:r>
    </w:p>
    <w:p>
      <w:pPr>
        <w:pStyle w:val="29"/>
        <w:numPr>
          <w:ilvl w:val="0"/>
          <w:numId w:val="35"/>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根据评标委员会的评标结果，采购人依法确定中标人，也可以事先授权评标委员会直接确定中标人。</w:t>
      </w:r>
    </w:p>
    <w:p>
      <w:pPr>
        <w:pStyle w:val="29"/>
        <w:pageBreakBefore/>
        <w:numPr>
          <w:ilvl w:val="0"/>
          <w:numId w:val="36"/>
        </w:numPr>
        <w:spacing w:before="156" w:beforeLines="50" w:after="312" w:afterLines="100" w:line="360" w:lineRule="auto"/>
        <w:ind w:left="422" w:hanging="422" w:hanging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附表一 资格性审查表</w:t>
      </w:r>
      <w:r>
        <w:rPr>
          <w:rFonts w:hint="eastAsia" w:ascii="宋体" w:hAnsi="宋体" w:eastAsia="宋体" w:cs="宋体"/>
          <w:bCs/>
          <w:color w:val="000000" w:themeColor="text1"/>
          <w:szCs w:val="21"/>
          <w14:textFill>
            <w14:solidFill>
              <w14:schemeClr w14:val="tx1"/>
            </w14:solidFill>
          </w14:textFill>
        </w:rPr>
        <w:t>（注：本表无需投标人填写）</w:t>
      </w:r>
    </w:p>
    <w:tbl>
      <w:tblPr>
        <w:tblStyle w:val="2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4564"/>
        <w:gridCol w:w="1110"/>
        <w:gridCol w:w="1110"/>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trPr>
        <w:tc>
          <w:tcPr>
            <w:tcW w:w="635"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序号</w:t>
            </w:r>
          </w:p>
        </w:tc>
        <w:tc>
          <w:tcPr>
            <w:tcW w:w="4564" w:type="dxa"/>
            <w:tcBorders>
              <w:bottom w:val="single" w:color="auto" w:sz="4" w:space="0"/>
              <w:tl2br w:val="single" w:color="auto" w:sz="4" w:space="0"/>
            </w:tcBorders>
          </w:tcPr>
          <w:p>
            <w:pPr>
              <w:spacing w:line="360" w:lineRule="auto"/>
              <w:ind w:left="210" w:hanging="210" w:hangingChars="10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 xml:space="preserve">                               投标人</w:t>
            </w:r>
          </w:p>
          <w:p>
            <w:pPr>
              <w:spacing w:line="360" w:lineRule="auto"/>
              <w:ind w:firstLine="105" w:firstLineChars="5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审查内容</w:t>
            </w:r>
          </w:p>
        </w:tc>
        <w:tc>
          <w:tcPr>
            <w:tcW w:w="1110"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投标人A</w:t>
            </w:r>
          </w:p>
        </w:tc>
        <w:tc>
          <w:tcPr>
            <w:tcW w:w="1110"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投标人B</w:t>
            </w:r>
          </w:p>
        </w:tc>
        <w:tc>
          <w:tcPr>
            <w:tcW w:w="1109"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投标人C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635"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1</w:t>
            </w:r>
          </w:p>
        </w:tc>
        <w:tc>
          <w:tcPr>
            <w:tcW w:w="4564" w:type="dxa"/>
            <w:tcBorders>
              <w:tl2br w:val="nil"/>
            </w:tcBorders>
            <w:vAlign w:val="center"/>
          </w:tcPr>
          <w:p>
            <w:pPr>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供应商应符合《中华人民共和国政府采购法》第二十二条规定的条件。</w:t>
            </w:r>
          </w:p>
        </w:tc>
        <w:tc>
          <w:tcPr>
            <w:tcW w:w="1110"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p>
        </w:tc>
        <w:tc>
          <w:tcPr>
            <w:tcW w:w="1110"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p>
        </w:tc>
        <w:tc>
          <w:tcPr>
            <w:tcW w:w="1109"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635"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2</w:t>
            </w:r>
          </w:p>
        </w:tc>
        <w:tc>
          <w:tcPr>
            <w:tcW w:w="4564" w:type="dxa"/>
            <w:tcBorders>
              <w:tl2br w:val="nil"/>
            </w:tcBorders>
            <w:vAlign w:val="center"/>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http://www.ccgp.gov.cn/）查询结果为准，如相关失信记录已失效，供应商需提供相关证明资料）</w:t>
            </w:r>
          </w:p>
        </w:tc>
        <w:tc>
          <w:tcPr>
            <w:tcW w:w="1110"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p>
        </w:tc>
        <w:tc>
          <w:tcPr>
            <w:tcW w:w="1110"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p>
        </w:tc>
        <w:tc>
          <w:tcPr>
            <w:tcW w:w="1109"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635"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3</w:t>
            </w:r>
          </w:p>
        </w:tc>
        <w:tc>
          <w:tcPr>
            <w:tcW w:w="4564" w:type="dxa"/>
            <w:tcBorders>
              <w:tl2br w:val="nil"/>
            </w:tcBorders>
            <w:vAlign w:val="center"/>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本项目只接受报名并购买了招标文件的供应商提交的投标文件</w:t>
            </w:r>
            <w:r>
              <w:rPr>
                <w:rFonts w:hint="eastAsia" w:ascii="宋体" w:hAnsi="宋体" w:eastAsia="宋体" w:cs="宋体"/>
                <w:color w:val="000000" w:themeColor="text1"/>
                <w:szCs w:val="21"/>
                <w14:textFill>
                  <w14:solidFill>
                    <w14:schemeClr w14:val="tx1"/>
                  </w14:solidFill>
                </w14:textFill>
              </w:rPr>
              <w:t>。</w:t>
            </w:r>
          </w:p>
        </w:tc>
        <w:tc>
          <w:tcPr>
            <w:tcW w:w="1110"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p>
        </w:tc>
        <w:tc>
          <w:tcPr>
            <w:tcW w:w="1110"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p>
        </w:tc>
        <w:tc>
          <w:tcPr>
            <w:tcW w:w="1109"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635"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4</w:t>
            </w:r>
          </w:p>
        </w:tc>
        <w:tc>
          <w:tcPr>
            <w:tcW w:w="4564" w:type="dxa"/>
            <w:tcBorders>
              <w:tl2br w:val="nil"/>
            </w:tcBorders>
            <w:vAlign w:val="center"/>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本项目不接受联合体投标。</w:t>
            </w:r>
          </w:p>
        </w:tc>
        <w:tc>
          <w:tcPr>
            <w:tcW w:w="1110"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p>
        </w:tc>
        <w:tc>
          <w:tcPr>
            <w:tcW w:w="1110"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p>
        </w:tc>
        <w:tc>
          <w:tcPr>
            <w:tcW w:w="1109"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635"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5</w:t>
            </w:r>
          </w:p>
        </w:tc>
        <w:tc>
          <w:tcPr>
            <w:tcW w:w="4564" w:type="dxa"/>
            <w:tcBorders>
              <w:tl2br w:val="nil"/>
            </w:tcBorders>
            <w:vAlign w:val="center"/>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olor w:val="000000" w:themeColor="text1"/>
                <w:kern w:val="28"/>
                <w:szCs w:val="21"/>
                <w14:textFill>
                  <w14:solidFill>
                    <w14:schemeClr w14:val="tx1"/>
                  </w14:solidFill>
                </w14:textFill>
              </w:rPr>
              <w:t>无法律法规规定的其他废标情形。</w:t>
            </w:r>
          </w:p>
        </w:tc>
        <w:tc>
          <w:tcPr>
            <w:tcW w:w="1110"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p>
        </w:tc>
        <w:tc>
          <w:tcPr>
            <w:tcW w:w="1110" w:type="dxa"/>
            <w:vAlign w:val="center"/>
          </w:tcPr>
          <w:p>
            <w:pPr>
              <w:spacing w:line="360" w:lineRule="auto"/>
              <w:jc w:val="center"/>
              <w:rPr>
                <w:rFonts w:ascii="宋体" w:hAnsi="宋体" w:cs="宋体"/>
                <w:color w:val="000000" w:themeColor="text1"/>
                <w:szCs w:val="21"/>
                <w14:textFill>
                  <w14:solidFill>
                    <w14:schemeClr w14:val="tx1"/>
                  </w14:solidFill>
                </w14:textFill>
              </w:rPr>
            </w:pPr>
          </w:p>
        </w:tc>
        <w:tc>
          <w:tcPr>
            <w:tcW w:w="1109"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5199" w:type="dxa"/>
            <w:gridSpan w:val="2"/>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结论</w:t>
            </w:r>
          </w:p>
        </w:tc>
        <w:tc>
          <w:tcPr>
            <w:tcW w:w="1110"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110"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109"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528" w:type="dxa"/>
            <w:gridSpan w:val="5"/>
            <w:vAlign w:val="center"/>
          </w:tcPr>
          <w:p>
            <w:pPr>
              <w:spacing w:line="360" w:lineRule="auto"/>
              <w:jc w:val="left"/>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不通过原因说明：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28" w:type="dxa"/>
            <w:gridSpan w:val="5"/>
            <w:vAlign w:val="center"/>
          </w:tcPr>
          <w:p>
            <w:pPr>
              <w:spacing w:line="360" w:lineRule="auto"/>
              <w:jc w:val="left"/>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采购人或采购代理机构签署：</w:t>
            </w:r>
          </w:p>
        </w:tc>
      </w:tr>
    </w:tbl>
    <w:p>
      <w:pPr>
        <w:pStyle w:val="29"/>
        <w:numPr>
          <w:ilvl w:val="0"/>
          <w:numId w:val="37"/>
        </w:numPr>
        <w:spacing w:before="156" w:beforeLines="50" w:line="360" w:lineRule="auto"/>
        <w:ind w:firstLineChars="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注明：</w:t>
      </w:r>
    </w:p>
    <w:p>
      <w:pPr>
        <w:pStyle w:val="29"/>
        <w:numPr>
          <w:ilvl w:val="0"/>
          <w:numId w:val="38"/>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采购人或采购代理机构对投标人是否满足要求逐条标注评审意见，“是”标记为“○”，“否”标记为“×”；</w:t>
      </w:r>
    </w:p>
    <w:p>
      <w:pPr>
        <w:pStyle w:val="29"/>
        <w:numPr>
          <w:ilvl w:val="0"/>
          <w:numId w:val="38"/>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评审结论栏统一填写为“通过”或“不通过” ，出现一个“×”为“不通过”；</w:t>
      </w:r>
    </w:p>
    <w:p>
      <w:pPr>
        <w:pStyle w:val="29"/>
        <w:numPr>
          <w:ilvl w:val="0"/>
          <w:numId w:val="38"/>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对结论为“不通过”的投标，要说明原因。</w:t>
      </w:r>
    </w:p>
    <w:p>
      <w:pPr>
        <w:pStyle w:val="29"/>
        <w:pageBreakBefore/>
        <w:numPr>
          <w:ilvl w:val="0"/>
          <w:numId w:val="36"/>
        </w:numPr>
        <w:spacing w:before="156" w:beforeLines="50" w:after="312" w:afterLines="100" w:line="360" w:lineRule="auto"/>
        <w:ind w:left="422" w:hanging="422" w:hanging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附表二  符合性审查表</w:t>
      </w:r>
      <w:r>
        <w:rPr>
          <w:rFonts w:hint="eastAsia" w:ascii="宋体" w:hAnsi="宋体" w:eastAsia="宋体" w:cs="宋体"/>
          <w:bCs/>
          <w:color w:val="000000" w:themeColor="text1"/>
          <w:szCs w:val="21"/>
          <w14:textFill>
            <w14:solidFill>
              <w14:schemeClr w14:val="tx1"/>
            </w14:solidFill>
          </w14:textFill>
        </w:rPr>
        <w:t>（注：本表无需投标人填写）</w:t>
      </w:r>
    </w:p>
    <w:tbl>
      <w:tblPr>
        <w:tblStyle w:val="2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4507"/>
        <w:gridCol w:w="1110"/>
        <w:gridCol w:w="1110"/>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trPr>
        <w:tc>
          <w:tcPr>
            <w:tcW w:w="692"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序号</w:t>
            </w:r>
          </w:p>
        </w:tc>
        <w:tc>
          <w:tcPr>
            <w:tcW w:w="4507" w:type="dxa"/>
            <w:tcBorders>
              <w:bottom w:val="single" w:color="auto" w:sz="4" w:space="0"/>
              <w:tl2br w:val="single" w:color="auto" w:sz="4" w:space="0"/>
            </w:tcBorders>
          </w:tcPr>
          <w:p>
            <w:pPr>
              <w:spacing w:line="360" w:lineRule="auto"/>
              <w:ind w:left="210" w:hanging="210" w:hangingChars="10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 xml:space="preserve">                               投标人</w:t>
            </w:r>
          </w:p>
          <w:p>
            <w:pPr>
              <w:spacing w:line="360" w:lineRule="auto"/>
              <w:ind w:firstLine="105" w:firstLineChars="5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审查内容</w:t>
            </w:r>
          </w:p>
        </w:tc>
        <w:tc>
          <w:tcPr>
            <w:tcW w:w="1110"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投标人A</w:t>
            </w:r>
          </w:p>
        </w:tc>
        <w:tc>
          <w:tcPr>
            <w:tcW w:w="1110"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投标人B</w:t>
            </w:r>
          </w:p>
        </w:tc>
        <w:tc>
          <w:tcPr>
            <w:tcW w:w="1109"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投标人C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692"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1</w:t>
            </w:r>
          </w:p>
        </w:tc>
        <w:tc>
          <w:tcPr>
            <w:tcW w:w="4507" w:type="dxa"/>
            <w:vAlign w:val="center"/>
          </w:tcPr>
          <w:p>
            <w:pPr>
              <w:spacing w:line="360" w:lineRule="auto"/>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按招标文件要求交纳保证金</w:t>
            </w:r>
          </w:p>
        </w:tc>
        <w:tc>
          <w:tcPr>
            <w:tcW w:w="1110"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110"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109"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692"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2</w:t>
            </w:r>
          </w:p>
        </w:tc>
        <w:tc>
          <w:tcPr>
            <w:tcW w:w="4507" w:type="dxa"/>
            <w:vAlign w:val="center"/>
          </w:tcPr>
          <w:p>
            <w:pPr>
              <w:spacing w:line="360" w:lineRule="auto"/>
              <w:jc w:val="left"/>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投标报价不超过本项目采购预算/最高限价</w:t>
            </w:r>
          </w:p>
        </w:tc>
        <w:tc>
          <w:tcPr>
            <w:tcW w:w="1110"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110"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109"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692"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3</w:t>
            </w:r>
          </w:p>
        </w:tc>
        <w:tc>
          <w:tcPr>
            <w:tcW w:w="4507" w:type="dxa"/>
            <w:vAlign w:val="center"/>
          </w:tcPr>
          <w:p>
            <w:pPr>
              <w:spacing w:line="360" w:lineRule="auto"/>
              <w:jc w:val="left"/>
              <w:rPr>
                <w:rFonts w:ascii="宋体" w:hAnsi="宋体" w:eastAsia="宋体" w:cs="宋体"/>
                <w:color w:val="000000" w:themeColor="text1"/>
                <w:spacing w:val="-6"/>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投标函（投标的有效期）</w:t>
            </w:r>
          </w:p>
        </w:tc>
        <w:tc>
          <w:tcPr>
            <w:tcW w:w="1110"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110"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109"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692"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4</w:t>
            </w:r>
          </w:p>
        </w:tc>
        <w:tc>
          <w:tcPr>
            <w:tcW w:w="4507" w:type="dxa"/>
            <w:vAlign w:val="center"/>
          </w:tcPr>
          <w:p>
            <w:pPr>
              <w:spacing w:line="360" w:lineRule="auto"/>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法定代表人身份证明书</w:t>
            </w:r>
          </w:p>
        </w:tc>
        <w:tc>
          <w:tcPr>
            <w:tcW w:w="1110"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110"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109"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692"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5</w:t>
            </w:r>
          </w:p>
        </w:tc>
        <w:tc>
          <w:tcPr>
            <w:tcW w:w="4507" w:type="dxa"/>
            <w:vAlign w:val="center"/>
          </w:tcPr>
          <w:p>
            <w:pPr>
              <w:spacing w:line="360" w:lineRule="auto"/>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法定代表人授权委托书</w:t>
            </w:r>
          </w:p>
          <w:p>
            <w:pPr>
              <w:spacing w:line="360" w:lineRule="auto"/>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(投标人代表为法定代表人的除外)</w:t>
            </w:r>
          </w:p>
        </w:tc>
        <w:tc>
          <w:tcPr>
            <w:tcW w:w="1110"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110"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109"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692"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6</w:t>
            </w:r>
          </w:p>
        </w:tc>
        <w:tc>
          <w:tcPr>
            <w:tcW w:w="4507" w:type="dxa"/>
            <w:vAlign w:val="center"/>
          </w:tcPr>
          <w:p>
            <w:pPr>
              <w:spacing w:line="360" w:lineRule="auto"/>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投标文件的式样、签署、盖章、递交及封装符合招标文件要求</w:t>
            </w:r>
          </w:p>
        </w:tc>
        <w:tc>
          <w:tcPr>
            <w:tcW w:w="1110"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110"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109"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692"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7</w:t>
            </w:r>
          </w:p>
        </w:tc>
        <w:tc>
          <w:tcPr>
            <w:tcW w:w="4507" w:type="dxa"/>
            <w:vAlign w:val="center"/>
          </w:tcPr>
          <w:p>
            <w:pPr>
              <w:spacing w:line="360" w:lineRule="auto"/>
              <w:jc w:val="left"/>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用户需求书当中的★条款满足要求</w:t>
            </w:r>
          </w:p>
          <w:p>
            <w:pPr>
              <w:spacing w:line="360" w:lineRule="auto"/>
              <w:jc w:val="left"/>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(若本项目无★条款，此项通过)</w:t>
            </w:r>
          </w:p>
        </w:tc>
        <w:tc>
          <w:tcPr>
            <w:tcW w:w="1110"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110"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109"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692"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8</w:t>
            </w:r>
          </w:p>
        </w:tc>
        <w:tc>
          <w:tcPr>
            <w:tcW w:w="4507" w:type="dxa"/>
            <w:vAlign w:val="center"/>
          </w:tcPr>
          <w:p>
            <w:pPr>
              <w:spacing w:line="360" w:lineRule="auto"/>
              <w:jc w:val="left"/>
              <w:rPr>
                <w:rFonts w:ascii="宋体" w:hAnsi="宋体" w:eastAsia="宋体" w:cs="宋体"/>
                <w:color w:val="000000" w:themeColor="text1"/>
                <w:szCs w:val="21"/>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无招标文件或法规明确规定可以废标的其他情形</w:t>
            </w:r>
          </w:p>
        </w:tc>
        <w:tc>
          <w:tcPr>
            <w:tcW w:w="1110"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110"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109"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5199" w:type="dxa"/>
            <w:gridSpan w:val="2"/>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结论</w:t>
            </w:r>
          </w:p>
        </w:tc>
        <w:tc>
          <w:tcPr>
            <w:tcW w:w="1110"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110"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109"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528" w:type="dxa"/>
            <w:gridSpan w:val="5"/>
            <w:vAlign w:val="center"/>
          </w:tcPr>
          <w:p>
            <w:pPr>
              <w:spacing w:line="360" w:lineRule="auto"/>
              <w:jc w:val="left"/>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不通过原因说明：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28" w:type="dxa"/>
            <w:gridSpan w:val="5"/>
            <w:vAlign w:val="center"/>
          </w:tcPr>
          <w:p>
            <w:pPr>
              <w:spacing w:line="360" w:lineRule="auto"/>
              <w:jc w:val="left"/>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评委签署：</w:t>
            </w:r>
          </w:p>
        </w:tc>
      </w:tr>
    </w:tbl>
    <w:p>
      <w:pPr>
        <w:pStyle w:val="29"/>
        <w:numPr>
          <w:ilvl w:val="0"/>
          <w:numId w:val="37"/>
        </w:numPr>
        <w:spacing w:before="156" w:beforeLines="50" w:line="360" w:lineRule="auto"/>
        <w:ind w:firstLineChars="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注明：</w:t>
      </w:r>
    </w:p>
    <w:p>
      <w:pPr>
        <w:pStyle w:val="29"/>
        <w:numPr>
          <w:ilvl w:val="0"/>
          <w:numId w:val="39"/>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评审时评委对投标人是否满足要求逐条标注评审意见，“是”标记为“○”，“否”标记为“×”；</w:t>
      </w:r>
    </w:p>
    <w:p>
      <w:pPr>
        <w:pStyle w:val="29"/>
        <w:numPr>
          <w:ilvl w:val="0"/>
          <w:numId w:val="39"/>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评审结论栏统一填写为“通过”或“不通过” ，出现一个“×”为“不通过”；</w:t>
      </w:r>
    </w:p>
    <w:p>
      <w:pPr>
        <w:pStyle w:val="29"/>
        <w:numPr>
          <w:ilvl w:val="0"/>
          <w:numId w:val="39"/>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对结论为“不通过”的投标，要说明原因。</w:t>
      </w:r>
    </w:p>
    <w:p>
      <w:pPr>
        <w:pStyle w:val="29"/>
        <w:spacing w:line="360" w:lineRule="auto"/>
        <w:ind w:firstLine="0" w:firstLineChars="0"/>
        <w:rPr>
          <w:rFonts w:ascii="宋体" w:hAnsi="宋体" w:eastAsia="宋体" w:cs="宋体"/>
          <w:bCs/>
          <w:color w:val="000000" w:themeColor="text1"/>
          <w:szCs w:val="21"/>
          <w14:textFill>
            <w14:solidFill>
              <w14:schemeClr w14:val="tx1"/>
            </w14:solidFill>
          </w14:textFill>
        </w:rPr>
      </w:pPr>
    </w:p>
    <w:p>
      <w:pPr>
        <w:pStyle w:val="29"/>
        <w:spacing w:line="360" w:lineRule="auto"/>
        <w:ind w:firstLine="0" w:firstLineChars="0"/>
        <w:rPr>
          <w:rFonts w:ascii="宋体" w:hAnsi="宋体" w:eastAsia="宋体" w:cs="宋体"/>
          <w:bCs/>
          <w:color w:val="000000" w:themeColor="text1"/>
          <w:szCs w:val="21"/>
          <w14:textFill>
            <w14:solidFill>
              <w14:schemeClr w14:val="tx1"/>
            </w14:solidFill>
          </w14:textFill>
        </w:rPr>
      </w:pPr>
    </w:p>
    <w:p>
      <w:pPr>
        <w:pStyle w:val="29"/>
        <w:pageBreakBefore/>
        <w:numPr>
          <w:ilvl w:val="0"/>
          <w:numId w:val="36"/>
        </w:numPr>
        <w:spacing w:before="156" w:beforeLines="50" w:after="312" w:afterLines="100" w:line="360" w:lineRule="auto"/>
        <w:ind w:left="422" w:hanging="422" w:hanging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附表三  详细评审表（含商务、技术评审细则）</w:t>
      </w:r>
    </w:p>
    <w:p>
      <w:pPr>
        <w:spacing w:line="440" w:lineRule="exact"/>
        <w:ind w:left="425"/>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商务技术评分标准（70分）：</w:t>
      </w:r>
    </w:p>
    <w:p>
      <w:pPr>
        <w:spacing w:line="440" w:lineRule="exact"/>
        <w:ind w:left="425"/>
        <w:rPr>
          <w:rFonts w:ascii="宋体" w:hAnsi="宋体" w:eastAsia="宋体" w:cs="宋体"/>
          <w:color w:val="000000" w:themeColor="text1"/>
          <w:szCs w:val="21"/>
          <w14:textFill>
            <w14:solidFill>
              <w14:schemeClr w14:val="tx1"/>
            </w14:solidFill>
          </w14:textFill>
        </w:rPr>
      </w:pPr>
    </w:p>
    <w:tbl>
      <w:tblPr>
        <w:tblStyle w:val="20"/>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720"/>
        <w:gridCol w:w="6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shd w:val="clear" w:color="auto" w:fill="D7D7D7" w:themeFill="background1" w:themeFillShade="D8"/>
            <w:vAlign w:val="center"/>
          </w:tcPr>
          <w:p>
            <w:pPr>
              <w:spacing w:after="120" w:line="360" w:lineRule="auto"/>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序号</w:t>
            </w:r>
          </w:p>
        </w:tc>
        <w:tc>
          <w:tcPr>
            <w:tcW w:w="1720" w:type="dxa"/>
            <w:shd w:val="clear" w:color="auto" w:fill="D7D7D7" w:themeFill="background1" w:themeFillShade="D8"/>
            <w:vAlign w:val="center"/>
          </w:tcPr>
          <w:p>
            <w:pPr>
              <w:spacing w:after="120" w:line="360" w:lineRule="auto"/>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评审内容</w:t>
            </w:r>
          </w:p>
        </w:tc>
        <w:tc>
          <w:tcPr>
            <w:tcW w:w="6648" w:type="dxa"/>
            <w:shd w:val="clear" w:color="auto" w:fill="D7D7D7" w:themeFill="background1" w:themeFillShade="D8"/>
            <w:vAlign w:val="center"/>
          </w:tcPr>
          <w:p>
            <w:pPr>
              <w:spacing w:after="120" w:line="360" w:lineRule="auto"/>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7" w:type="dxa"/>
            <w:gridSpan w:val="3"/>
            <w:shd w:val="clear" w:color="auto" w:fill="D7D7D7" w:themeFill="background1" w:themeFillShade="D8"/>
            <w:vAlign w:val="center"/>
          </w:tcPr>
          <w:p>
            <w:pPr>
              <w:spacing w:after="120" w:line="360" w:lineRule="auto"/>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一、商务部分（满分30分）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1720" w:type="dxa"/>
            <w:shd w:val="clear" w:color="auto" w:fill="auto"/>
            <w:vAlign w:val="center"/>
          </w:tcPr>
          <w:p>
            <w:pPr>
              <w:spacing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项目经理的资质 （</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分）</w:t>
            </w:r>
          </w:p>
        </w:tc>
        <w:tc>
          <w:tcPr>
            <w:tcW w:w="6648" w:type="dxa"/>
            <w:shd w:val="clear" w:color="auto" w:fill="auto"/>
            <w:vAlign w:val="center"/>
          </w:tcPr>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具有高级项目经理证书得1分，硕士毕业证书得</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分，</w:t>
            </w:r>
            <w:r>
              <w:rPr>
                <w:rFonts w:ascii="宋体" w:hAnsi="宋体" w:cs="宋体"/>
                <w:color w:val="000000" w:themeColor="text1"/>
                <w:szCs w:val="21"/>
                <w14:textFill>
                  <w14:solidFill>
                    <w14:schemeClr w14:val="tx1"/>
                  </w14:solidFill>
                </w14:textFill>
              </w:rPr>
              <w:t>ITSS-IT服务项目经理证书得1分，满分3</w:t>
            </w:r>
            <w:r>
              <w:rPr>
                <w:rFonts w:hint="eastAsia" w:ascii="宋体" w:hAnsi="宋体" w:cs="宋体"/>
                <w:color w:val="000000" w:themeColor="text1"/>
                <w:szCs w:val="21"/>
                <w14:textFill>
                  <w14:solidFill>
                    <w14:schemeClr w14:val="tx1"/>
                  </w14:solidFill>
                </w14:textFill>
              </w:rPr>
              <w:t>分。（提供资质证书及在项目经理最近连续</w:t>
            </w:r>
            <w:r>
              <w:rPr>
                <w:rFonts w:ascii="宋体" w:hAnsi="宋体" w:cs="宋体"/>
                <w:color w:val="000000" w:themeColor="text1"/>
                <w:szCs w:val="21"/>
                <w14:textFill>
                  <w14:solidFill>
                    <w14:schemeClr w14:val="tx1"/>
                  </w14:solidFill>
                </w14:textFill>
              </w:rPr>
              <w:t>6个月的社保证明，加盖公章）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shd w:val="clear" w:color="auto" w:fill="auto"/>
            <w:vAlign w:val="center"/>
          </w:tcPr>
          <w:p>
            <w:pPr>
              <w:spacing w:line="360"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1720" w:type="dxa"/>
            <w:shd w:val="clear" w:color="auto" w:fill="auto"/>
            <w:vAlign w:val="center"/>
          </w:tcPr>
          <w:p>
            <w:pPr>
              <w:spacing w:after="120" w:line="360"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财务状况</w:t>
            </w:r>
          </w:p>
          <w:p>
            <w:pPr>
              <w:spacing w:after="120"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（3分）</w:t>
            </w:r>
          </w:p>
        </w:tc>
        <w:tc>
          <w:tcPr>
            <w:tcW w:w="6648" w:type="dxa"/>
            <w:shd w:val="clear" w:color="auto" w:fill="auto"/>
            <w:vAlign w:val="center"/>
          </w:tcPr>
          <w:p>
            <w:pPr>
              <w:spacing w:line="360" w:lineRule="auto"/>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根据投标人2016</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2017</w:t>
            </w:r>
            <w:r>
              <w:rPr>
                <w:rFonts w:hint="eastAsia" w:ascii="宋体" w:hAnsi="宋体" w:cs="宋体"/>
                <w:color w:val="000000" w:themeColor="text1"/>
                <w:szCs w:val="21"/>
                <w14:textFill>
                  <w14:solidFill>
                    <w14:schemeClr w14:val="tx1"/>
                  </w14:solidFill>
                </w14:textFill>
              </w:rPr>
              <w:t>及</w:t>
            </w:r>
            <w:r>
              <w:rPr>
                <w:rFonts w:ascii="宋体" w:hAnsi="宋体" w:cs="宋体"/>
                <w:color w:val="000000" w:themeColor="text1"/>
                <w:szCs w:val="21"/>
                <w14:textFill>
                  <w14:solidFill>
                    <w14:schemeClr w14:val="tx1"/>
                  </w14:solidFill>
                </w14:textFill>
              </w:rPr>
              <w:t>2018年财务状况进行评价。连续三年都盈利的得</w:t>
            </w: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分，两年盈利的得</w:t>
            </w: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分，一年盈利的得</w:t>
            </w: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分，连续三年都亏损的得0分。（以经会计师事务所审计的审计报告为准）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699" w:type="dxa"/>
            <w:shd w:val="clear" w:color="auto" w:fill="auto"/>
            <w:vAlign w:val="center"/>
          </w:tcPr>
          <w:p>
            <w:pPr>
              <w:spacing w:line="360"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1720" w:type="dxa"/>
            <w:shd w:val="clear" w:color="auto" w:fill="auto"/>
            <w:vAlign w:val="center"/>
          </w:tcPr>
          <w:p>
            <w:pPr>
              <w:spacing w:line="360"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公司实力</w:t>
            </w:r>
          </w:p>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8</w:t>
            </w:r>
            <w:r>
              <w:rPr>
                <w:rFonts w:hint="eastAsia" w:ascii="宋体" w:hAnsi="宋体"/>
                <w:color w:val="000000" w:themeColor="text1"/>
                <w:szCs w:val="21"/>
                <w14:textFill>
                  <w14:solidFill>
                    <w14:schemeClr w14:val="tx1"/>
                  </w14:solidFill>
                </w14:textFill>
              </w:rPr>
              <w:t>分）</w:t>
            </w:r>
          </w:p>
        </w:tc>
        <w:tc>
          <w:tcPr>
            <w:tcW w:w="6648" w:type="dxa"/>
            <w:shd w:val="clear" w:color="auto" w:fill="auto"/>
            <w:vAlign w:val="center"/>
          </w:tcPr>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投标人具有有效的国家级高新技术企业证书</w:t>
            </w:r>
            <w:bookmarkStart w:id="110" w:name="OLE_LINK3"/>
            <w:bookmarkStart w:id="111" w:name="OLE_LINK4"/>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信息系统集成</w:t>
            </w:r>
            <w:bookmarkEnd w:id="110"/>
            <w:bookmarkEnd w:id="111"/>
            <w:r>
              <w:rPr>
                <w:rFonts w:hint="eastAsia" w:ascii="宋体" w:hAnsi="宋体" w:cs="宋体"/>
                <w:color w:val="000000" w:themeColor="text1"/>
                <w:szCs w:val="21"/>
                <w14:textFill>
                  <w14:solidFill>
                    <w14:schemeClr w14:val="tx1"/>
                  </w14:solidFill>
                </w14:textFill>
              </w:rPr>
              <w:t>及</w:t>
            </w:r>
            <w:r>
              <w:rPr>
                <w:rFonts w:ascii="宋体" w:hAnsi="宋体" w:cs="宋体"/>
                <w:color w:val="000000" w:themeColor="text1"/>
                <w:szCs w:val="21"/>
                <w14:textFill>
                  <w14:solidFill>
                    <w14:schemeClr w14:val="tx1"/>
                  </w14:solidFill>
                </w14:textFill>
              </w:rPr>
              <w:t>服务</w:t>
            </w:r>
            <w:r>
              <w:rPr>
                <w:rFonts w:hint="eastAsia" w:ascii="宋体" w:hAnsi="宋体" w:cs="宋体"/>
                <w:color w:val="000000" w:themeColor="text1"/>
                <w:szCs w:val="21"/>
                <w14:textFill>
                  <w14:solidFill>
                    <w14:schemeClr w14:val="tx1"/>
                  </w14:solidFill>
                </w14:textFill>
              </w:rPr>
              <w:t>资质三级及以上证书</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省级安全技术防范系统设计、施工、维修资格证书</w:t>
            </w:r>
            <w:r>
              <w:rPr>
                <w:rFonts w:hint="eastAsia" w:ascii="宋体" w:hAnsi="宋体" w:cs="宋体"/>
                <w:color w:val="000000" w:themeColor="text1"/>
                <w:szCs w:val="21"/>
                <w:lang w:eastAsia="zh-CN"/>
                <w14:textFill>
                  <w14:solidFill>
                    <w14:schemeClr w14:val="tx1"/>
                  </w14:solidFill>
                </w14:textFill>
              </w:rPr>
              <w:t>、</w:t>
            </w:r>
            <w:r>
              <w:rPr>
                <w:rFonts w:ascii="宋体" w:hAnsi="宋体" w:cs="宋体"/>
                <w:color w:val="000000" w:themeColor="text1"/>
                <w:szCs w:val="21"/>
                <w14:textFill>
                  <w14:solidFill>
                    <w14:schemeClr w14:val="tx1"/>
                  </w14:solidFill>
                </w14:textFill>
              </w:rPr>
              <w:t>ITSS信息技术服务运行维护标准符合性证书</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CMMI集成能力成熟度模型三级及以上证书</w:t>
            </w:r>
            <w:r>
              <w:rPr>
                <w:rFonts w:hint="eastAsia" w:ascii="宋体" w:hAnsi="宋体" w:cs="宋体"/>
                <w:color w:val="000000" w:themeColor="text1"/>
                <w:szCs w:val="21"/>
                <w:lang w:val="en-US"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广东省教育装备行业协会会员证书</w:t>
            </w:r>
            <w:r>
              <w:rPr>
                <w:rFonts w:hint="eastAsia" w:ascii="宋体" w:hAnsi="宋体" w:cs="宋体"/>
                <w:color w:val="000000" w:themeColor="text1"/>
                <w:szCs w:val="21"/>
                <w:lang w:val="en-US"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中国教育技术协会会员单位证书</w:t>
            </w:r>
            <w:r>
              <w:rPr>
                <w:rFonts w:hint="eastAsia" w:ascii="宋体" w:hAnsi="宋体" w:cs="宋体"/>
                <w:color w:val="000000" w:themeColor="text1"/>
                <w:szCs w:val="21"/>
                <w:lang w:val="en-US"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广东省公共安全技术防范协会会员证书</w:t>
            </w:r>
            <w:r>
              <w:rPr>
                <w:rFonts w:hint="eastAsia" w:ascii="宋体" w:hAnsi="宋体" w:cs="宋体"/>
                <w:color w:val="000000" w:themeColor="text1"/>
                <w:szCs w:val="21"/>
                <w:lang w:val="en-US" w:eastAsia="zh-CN"/>
                <w14:textFill>
                  <w14:solidFill>
                    <w14:schemeClr w14:val="tx1"/>
                  </w14:solidFill>
                </w14:textFill>
              </w:rPr>
              <w:t>,</w:t>
            </w:r>
            <w:r>
              <w:rPr>
                <w:rFonts w:ascii="宋体" w:hAnsi="宋体" w:cs="宋体"/>
                <w:color w:val="000000" w:themeColor="text1"/>
                <w:szCs w:val="21"/>
                <w14:textFill>
                  <w14:solidFill>
                    <w14:schemeClr w14:val="tx1"/>
                  </w14:solidFill>
                </w14:textFill>
              </w:rPr>
              <w:t>每具备一项得1</w:t>
            </w:r>
            <w:r>
              <w:rPr>
                <w:rFonts w:hint="eastAsia" w:ascii="宋体" w:hAnsi="宋体" w:cs="宋体"/>
                <w:color w:val="000000" w:themeColor="text1"/>
                <w:szCs w:val="21"/>
                <w14:textFill>
                  <w14:solidFill>
                    <w14:schemeClr w14:val="tx1"/>
                  </w14:solidFill>
                </w14:textFill>
              </w:rPr>
              <w:t>分，最高得</w:t>
            </w:r>
            <w:r>
              <w:rPr>
                <w:rFonts w:ascii="宋体" w:hAnsi="宋体" w:cs="宋体"/>
                <w:color w:val="000000" w:themeColor="text1"/>
                <w:szCs w:val="21"/>
                <w14:textFill>
                  <w14:solidFill>
                    <w14:schemeClr w14:val="tx1"/>
                  </w14:solidFill>
                </w14:textFill>
              </w:rPr>
              <w:t>8</w:t>
            </w:r>
            <w:r>
              <w:rPr>
                <w:rFonts w:hint="eastAsia" w:ascii="宋体" w:hAnsi="宋体" w:cs="宋体"/>
                <w:color w:val="000000" w:themeColor="text1"/>
                <w:szCs w:val="21"/>
                <w14:textFill>
                  <w14:solidFill>
                    <w14:schemeClr w14:val="tx1"/>
                  </w14:solidFill>
                </w14:textFill>
              </w:rPr>
              <w:t>分。</w:t>
            </w:r>
          </w:p>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（提供以上资质复印件加盖公章，否则不得分。）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shd w:val="clear" w:color="auto" w:fill="auto"/>
            <w:vAlign w:val="center"/>
          </w:tcPr>
          <w:p>
            <w:pPr>
              <w:spacing w:line="360"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1720" w:type="dxa"/>
            <w:shd w:val="clear" w:color="auto" w:fill="auto"/>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投标人质量管理、诚信认证情况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分）</w:t>
            </w:r>
          </w:p>
        </w:tc>
        <w:tc>
          <w:tcPr>
            <w:tcW w:w="6648" w:type="dxa"/>
            <w:shd w:val="clear" w:color="auto" w:fill="auto"/>
            <w:vAlign w:val="center"/>
          </w:tcPr>
          <w:p>
            <w:pPr>
              <w:spacing w:line="360" w:lineRule="auto"/>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1、投标人企业获得由国家认证认可监督管理部门批准设立的认证机构颁发并在有效期内的环境管理体系认证ISO14001、质量管理体系认证证书ISO9001、职业健康安全质量管理体系认证证书OHSAS18001</w:t>
            </w:r>
            <w:r>
              <w:rPr>
                <w:rFonts w:hint="eastAsia" w:ascii="宋体" w:hAnsi="宋体" w:cs="宋体"/>
                <w:color w:val="000000" w:themeColor="text1"/>
                <w:szCs w:val="21"/>
                <w14:textFill>
                  <w14:solidFill>
                    <w14:schemeClr w14:val="tx1"/>
                  </w14:solidFill>
                </w14:textFill>
              </w:rPr>
              <w:t>、服务管理质量管理体系认证证书</w:t>
            </w:r>
            <w:r>
              <w:rPr>
                <w:rFonts w:ascii="宋体" w:hAnsi="宋体" w:cs="宋体"/>
                <w:color w:val="000000" w:themeColor="text1"/>
                <w:szCs w:val="21"/>
                <w14:textFill>
                  <w14:solidFill>
                    <w14:schemeClr w14:val="tx1"/>
                  </w14:solidFill>
                </w14:textFill>
              </w:rPr>
              <w:t>ISO20000、信息安全管理质量体系认证证书ISO27001</w:t>
            </w:r>
            <w:r>
              <w:rPr>
                <w:rFonts w:hint="eastAsia" w:ascii="宋体" w:hAnsi="宋体" w:cs="宋体"/>
                <w:color w:val="000000" w:themeColor="text1"/>
                <w:szCs w:val="21"/>
                <w14:textFill>
                  <w14:solidFill>
                    <w14:schemeClr w14:val="tx1"/>
                  </w14:solidFill>
                </w14:textFill>
              </w:rPr>
              <w:t xml:space="preserve">、业务连续性认证证书ISO22301:2012、售后服务认证证书GB/T27922：2011、企业诚信管理体系认证证书GBT31950-2015 </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每具备一项得1分，最高得</w:t>
            </w:r>
            <w:r>
              <w:rPr>
                <w:rFonts w:ascii="宋体" w:hAnsi="宋体" w:cs="宋体"/>
                <w:color w:val="000000" w:themeColor="text1"/>
                <w:szCs w:val="21"/>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分。</w:t>
            </w:r>
          </w:p>
          <w:p>
            <w:pPr>
              <w:spacing w:line="360" w:lineRule="auto"/>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2、投标人获得全国</w:t>
            </w:r>
            <w:r>
              <w:rPr>
                <w:rFonts w:hint="eastAsia" w:ascii="宋体" w:hAnsi="宋体" w:cs="宋体"/>
                <w:color w:val="000000" w:themeColor="text1"/>
                <w:szCs w:val="21"/>
                <w14:textFill>
                  <w14:solidFill>
                    <w14:schemeClr w14:val="tx1"/>
                  </w14:solidFill>
                </w14:textFill>
              </w:rPr>
              <w:t>诚</w:t>
            </w:r>
            <w:r>
              <w:rPr>
                <w:rFonts w:ascii="宋体" w:hAnsi="宋体" w:cs="宋体"/>
                <w:color w:val="000000" w:themeColor="text1"/>
                <w:szCs w:val="21"/>
                <w14:textFill>
                  <w14:solidFill>
                    <w14:schemeClr w14:val="tx1"/>
                  </w14:solidFill>
                </w14:textFill>
              </w:rPr>
              <w:t>信企业</w:t>
            </w:r>
            <w:r>
              <w:rPr>
                <w:rFonts w:hint="eastAsia" w:ascii="宋体" w:hAnsi="宋体" w:cs="宋体"/>
                <w:color w:val="000000" w:themeColor="text1"/>
                <w:szCs w:val="21"/>
                <w14:textFill>
                  <w14:solidFill>
                    <w14:schemeClr w14:val="tx1"/>
                  </w14:solidFill>
                </w14:textFill>
              </w:rPr>
              <w:t>，全国质量、</w:t>
            </w:r>
            <w:r>
              <w:rPr>
                <w:rFonts w:ascii="宋体" w:hAnsi="宋体" w:cs="宋体"/>
                <w:color w:val="000000" w:themeColor="text1"/>
                <w:szCs w:val="21"/>
                <w14:textFill>
                  <w14:solidFill>
                    <w14:schemeClr w14:val="tx1"/>
                  </w14:solidFill>
                </w14:textFill>
              </w:rPr>
              <w:t>服务</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信誉AAA</w:t>
            </w:r>
            <w:r>
              <w:rPr>
                <w:rFonts w:hint="eastAsia" w:ascii="宋体" w:hAnsi="宋体" w:cs="宋体"/>
                <w:color w:val="000000" w:themeColor="text1"/>
                <w:szCs w:val="21"/>
                <w14:textFill>
                  <w14:solidFill>
                    <w14:schemeClr w14:val="tx1"/>
                  </w14:solidFill>
                </w14:textFill>
              </w:rPr>
              <w:t>级企业证</w:t>
            </w:r>
            <w:r>
              <w:rPr>
                <w:rFonts w:ascii="宋体" w:hAnsi="宋体" w:cs="宋体"/>
                <w:color w:val="000000" w:themeColor="text1"/>
                <w:szCs w:val="21"/>
                <w14:textFill>
                  <w14:solidFill>
                    <w14:schemeClr w14:val="tx1"/>
                  </w14:solidFill>
                </w14:textFill>
              </w:rPr>
              <w:t>书，</w:t>
            </w:r>
            <w:r>
              <w:rPr>
                <w:rFonts w:hint="eastAsia" w:ascii="宋体" w:hAnsi="宋体" w:cs="宋体"/>
                <w:color w:val="000000" w:themeColor="text1"/>
                <w:szCs w:val="21"/>
                <w14:textFill>
                  <w14:solidFill>
                    <w14:schemeClr w14:val="tx1"/>
                  </w14:solidFill>
                </w14:textFill>
              </w:rPr>
              <w:t>广东省诚信示范企业，每具备一项得</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分，最高得</w:t>
            </w: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分。</w:t>
            </w:r>
          </w:p>
          <w:p>
            <w:pPr>
              <w:spacing w:line="360" w:lineRule="auto"/>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、投标人获得省级及以上工商行政主管部门颁发的守合同重信用企业证书得</w:t>
            </w:r>
            <w:r>
              <w:rPr>
                <w:rFonts w:hint="eastAsia" w:ascii="宋体" w:hAnsi="宋体" w:cs="宋体"/>
                <w:color w:val="000000" w:themeColor="text1"/>
                <w:szCs w:val="21"/>
                <w:lang w:val="en-US" w:eastAsia="zh-CN"/>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分</w:t>
            </w:r>
            <w:r>
              <w:rPr>
                <w:rFonts w:ascii="宋体" w:hAnsi="宋体" w:cs="宋体"/>
                <w:color w:val="000000" w:themeColor="text1"/>
                <w:szCs w:val="21"/>
                <w14:textFill>
                  <w14:solidFill>
                    <w14:schemeClr w14:val="tx1"/>
                  </w14:solidFill>
                </w14:textFill>
              </w:rPr>
              <w:t>。</w:t>
            </w:r>
          </w:p>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（提供以上资质复印件加盖公章，否则不得分。）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shd w:val="clear" w:color="auto" w:fill="auto"/>
            <w:vAlign w:val="center"/>
          </w:tcPr>
          <w:p>
            <w:pPr>
              <w:spacing w:line="360"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1720" w:type="dxa"/>
            <w:shd w:val="clear" w:color="auto" w:fill="auto"/>
            <w:vAlign w:val="center"/>
          </w:tcPr>
          <w:p>
            <w:pPr>
              <w:spacing w:line="360"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项目业绩</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分）</w:t>
            </w:r>
          </w:p>
        </w:tc>
        <w:tc>
          <w:tcPr>
            <w:tcW w:w="6648" w:type="dxa"/>
            <w:shd w:val="clear" w:color="auto" w:fill="auto"/>
            <w:vAlign w:val="center"/>
          </w:tcPr>
          <w:p>
            <w:pPr>
              <w:spacing w:line="360" w:lineRule="auto"/>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201</w:t>
            </w:r>
            <w:r>
              <w:rPr>
                <w:rFonts w:hint="eastAsia" w:ascii="宋体" w:hAnsi="宋体" w:cs="宋体"/>
                <w:color w:val="000000" w:themeColor="text1"/>
                <w:szCs w:val="21"/>
                <w14:textFill>
                  <w14:solidFill>
                    <w14:schemeClr w14:val="tx1"/>
                  </w14:solidFill>
                </w14:textFill>
              </w:rPr>
              <w:t>5年以来完成校园信息化建设项目业绩</w:t>
            </w:r>
            <w:r>
              <w:rPr>
                <w:rFonts w:ascii="宋体" w:hAnsi="宋体" w:cs="宋体"/>
                <w:color w:val="000000" w:themeColor="text1"/>
                <w:szCs w:val="21"/>
                <w14:textFill>
                  <w14:solidFill>
                    <w14:schemeClr w14:val="tx1"/>
                  </w14:solidFill>
                </w14:textFill>
              </w:rPr>
              <w:t>每</w:t>
            </w:r>
            <w:r>
              <w:rPr>
                <w:rFonts w:hint="eastAsia" w:ascii="宋体" w:hAnsi="宋体" w:cs="宋体"/>
                <w:color w:val="000000" w:themeColor="text1"/>
                <w:szCs w:val="21"/>
                <w14:textFill>
                  <w14:solidFill>
                    <w14:schemeClr w14:val="tx1"/>
                  </w14:solidFill>
                </w14:textFill>
              </w:rPr>
              <w:t>个</w:t>
            </w:r>
            <w:r>
              <w:rPr>
                <w:rFonts w:ascii="宋体" w:hAnsi="宋体" w:cs="宋体"/>
                <w:color w:val="000000" w:themeColor="text1"/>
                <w:szCs w:val="21"/>
                <w14:textFill>
                  <w14:solidFill>
                    <w14:schemeClr w14:val="tx1"/>
                  </w14:solidFill>
                </w14:textFill>
              </w:rPr>
              <w:t>得</w:t>
            </w: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分</w:t>
            </w:r>
            <w:r>
              <w:rPr>
                <w:rFonts w:hint="eastAsia" w:ascii="宋体" w:hAnsi="宋体" w:cs="宋体"/>
                <w:color w:val="000000" w:themeColor="text1"/>
                <w:szCs w:val="21"/>
                <w14:textFill>
                  <w14:solidFill>
                    <w14:schemeClr w14:val="tx1"/>
                  </w14:solidFill>
                </w14:textFill>
              </w:rPr>
              <w:t>。（提供中标通知书、合同关键页及验收报告复印件并加盖公章，否则不得分）。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7"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二、技术部分（满分4</w:t>
            </w:r>
            <w:r>
              <w:rPr>
                <w:rFonts w:hint="eastAsia" w:ascii="宋体" w:hAnsi="宋体"/>
                <w:b/>
                <w:color w:val="000000" w:themeColor="text1"/>
                <w:szCs w:val="21"/>
                <w14:textFill>
                  <w14:solidFill>
                    <w14:schemeClr w14:val="tx1"/>
                  </w14:solidFill>
                </w14:textFill>
              </w:rPr>
              <w:t>0</w:t>
            </w:r>
            <w:r>
              <w:rPr>
                <w:rFonts w:ascii="宋体" w:hAnsi="宋体"/>
                <w:b/>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shd w:val="clear" w:color="auto" w:fill="auto"/>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1720" w:type="dxa"/>
            <w:shd w:val="clear" w:color="auto" w:fill="auto"/>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整体方案设计合理性，方案响应情况</w:t>
            </w:r>
          </w:p>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8分</w:t>
            </w:r>
            <w:r>
              <w:rPr>
                <w:rFonts w:hint="eastAsia" w:ascii="宋体" w:hAnsi="宋体"/>
                <w:color w:val="000000" w:themeColor="text1"/>
                <w:szCs w:val="21"/>
                <w14:textFill>
                  <w14:solidFill>
                    <w14:schemeClr w14:val="tx1"/>
                  </w14:solidFill>
                </w14:textFill>
              </w:rPr>
              <w:t>）</w:t>
            </w:r>
          </w:p>
        </w:tc>
        <w:tc>
          <w:tcPr>
            <w:tcW w:w="6648" w:type="dxa"/>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方案设计完整无缺、科学合理，能达到稳定、安全、可靠、高效的要求，</w:t>
            </w:r>
            <w:r>
              <w:rPr>
                <w:rFonts w:hint="eastAsia" w:ascii="宋体" w:hAnsi="宋体" w:cs="宋体"/>
                <w:color w:val="000000" w:themeColor="text1"/>
                <w:szCs w:val="21"/>
                <w14:textFill>
                  <w14:solidFill>
                    <w14:schemeClr w14:val="tx1"/>
                  </w14:solidFill>
                </w14:textFill>
              </w:rPr>
              <w:t>得</w:t>
            </w:r>
            <w:r>
              <w:rPr>
                <w:rFonts w:ascii="宋体" w:hAnsi="宋体" w:cs="宋体"/>
                <w:color w:val="000000" w:themeColor="text1"/>
                <w:szCs w:val="21"/>
                <w14:textFill>
                  <w14:solidFill>
                    <w14:schemeClr w14:val="tx1"/>
                  </w14:solidFill>
                </w14:textFill>
              </w:rPr>
              <w:t>8</w:t>
            </w:r>
            <w:r>
              <w:rPr>
                <w:rFonts w:hint="eastAsia" w:ascii="宋体" w:hAnsi="宋体" w:cs="宋体"/>
                <w:color w:val="000000" w:themeColor="text1"/>
                <w:szCs w:val="21"/>
                <w14:textFill>
                  <w14:solidFill>
                    <w14:schemeClr w14:val="tx1"/>
                  </w14:solidFill>
                </w14:textFill>
              </w:rPr>
              <w:t>分；</w:t>
            </w:r>
            <w:r>
              <w:rPr>
                <w:rFonts w:hint="eastAsia" w:ascii="宋体" w:hAnsi="宋体"/>
                <w:color w:val="000000" w:themeColor="text1"/>
                <w:szCs w:val="21"/>
                <w14:textFill>
                  <w14:solidFill>
                    <w14:schemeClr w14:val="tx1"/>
                  </w14:solidFill>
                </w14:textFill>
              </w:rPr>
              <w:t>方案设计较完整、合理，基本达到稳定、安全、可靠、高效的要求，</w:t>
            </w:r>
            <w:r>
              <w:rPr>
                <w:rFonts w:hint="eastAsia" w:ascii="宋体" w:hAnsi="宋体" w:cs="宋体"/>
                <w:color w:val="000000" w:themeColor="text1"/>
                <w:szCs w:val="21"/>
                <w14:textFill>
                  <w14:solidFill>
                    <w14:schemeClr w14:val="tx1"/>
                  </w14:solidFill>
                </w14:textFill>
              </w:rPr>
              <w:t>得</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分；方案设计基本完整、合理，</w:t>
            </w:r>
            <w:r>
              <w:rPr>
                <w:rFonts w:hint="eastAsia" w:ascii="宋体" w:hAnsi="宋体"/>
                <w:color w:val="000000" w:themeColor="text1"/>
                <w:szCs w:val="21"/>
                <w14:textFill>
                  <w14:solidFill>
                    <w14:schemeClr w14:val="tx1"/>
                  </w14:solidFill>
                </w14:textFill>
              </w:rPr>
              <w:t>稳定、安全、可靠方面一般，</w:t>
            </w:r>
            <w:r>
              <w:rPr>
                <w:rFonts w:hint="eastAsia" w:ascii="宋体" w:hAnsi="宋体" w:cs="宋体"/>
                <w:color w:val="000000" w:themeColor="text1"/>
                <w:szCs w:val="21"/>
                <w14:textFill>
                  <w14:solidFill>
                    <w14:schemeClr w14:val="tx1"/>
                  </w14:solidFill>
                </w14:textFill>
              </w:rPr>
              <w:t>得</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shd w:val="clear" w:color="auto" w:fill="auto"/>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1720" w:type="dxa"/>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技术条款响应情况</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24分</w:t>
            </w:r>
            <w:r>
              <w:rPr>
                <w:rFonts w:hint="eastAsia" w:ascii="宋体" w:hAnsi="宋体"/>
                <w:color w:val="000000" w:themeColor="text1"/>
                <w:szCs w:val="21"/>
                <w14:textFill>
                  <w14:solidFill>
                    <w14:schemeClr w14:val="tx1"/>
                  </w14:solidFill>
                </w14:textFill>
              </w:rPr>
              <w:t>）</w:t>
            </w:r>
          </w:p>
        </w:tc>
        <w:tc>
          <w:tcPr>
            <w:tcW w:w="6648" w:type="dxa"/>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根据</w:t>
            </w:r>
            <w:r>
              <w:rPr>
                <w:rFonts w:hint="eastAsia" w:ascii="宋体" w:hAnsi="宋体" w:cs="宋体"/>
                <w:color w:val="000000" w:themeColor="text1"/>
                <w:szCs w:val="21"/>
                <w14:textFill>
                  <w14:solidFill>
                    <w14:schemeClr w14:val="tx1"/>
                  </w14:solidFill>
                </w14:textFill>
              </w:rPr>
              <w:t>投标人对</w:t>
            </w:r>
            <w:r>
              <w:rPr>
                <w:rFonts w:ascii="宋体" w:hAnsi="宋体" w:cs="宋体"/>
                <w:color w:val="000000" w:themeColor="text1"/>
                <w:szCs w:val="21"/>
                <w14:textFill>
                  <w14:solidFill>
                    <w14:schemeClr w14:val="tx1"/>
                  </w14:solidFill>
                </w14:textFill>
              </w:rPr>
              <w:t>用户需求技术指标条款</w:t>
            </w:r>
            <w:r>
              <w:rPr>
                <w:rFonts w:hint="eastAsia" w:ascii="宋体" w:hAnsi="宋体" w:cs="宋体"/>
                <w:color w:val="000000" w:themeColor="text1"/>
                <w:szCs w:val="21"/>
                <w14:textFill>
                  <w14:solidFill>
                    <w14:schemeClr w14:val="tx1"/>
                  </w14:solidFill>
                </w14:textFill>
              </w:rPr>
              <w:t>的响应情况评分，</w:t>
            </w:r>
            <w:r>
              <w:rPr>
                <w:rFonts w:ascii="宋体" w:hAnsi="宋体" w:cs="宋体"/>
                <w:color w:val="000000" w:themeColor="text1"/>
                <w:szCs w:val="21"/>
                <w14:textFill>
                  <w14:solidFill>
                    <w14:schemeClr w14:val="tx1"/>
                  </w14:solidFill>
                </w14:textFill>
              </w:rPr>
              <w:t>全部响应或优于的得24分</w:t>
            </w:r>
            <w:r>
              <w:rPr>
                <w:rFonts w:hint="eastAsia" w:ascii="宋体" w:hAnsi="宋体" w:cs="宋体"/>
                <w:color w:val="000000" w:themeColor="text1"/>
                <w:szCs w:val="21"/>
                <w14:textFill>
                  <w14:solidFill>
                    <w14:schemeClr w14:val="tx1"/>
                  </w14:solidFill>
                </w14:textFill>
              </w:rPr>
              <w:t>，参数中“▲”指标为重要参数，每有一项参数指标不满足或不响应的扣</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shd w:val="clear" w:color="auto" w:fill="auto"/>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1720" w:type="dxa"/>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项目实施方案 </w:t>
            </w:r>
            <w:r>
              <w:rPr>
                <w:rFonts w:ascii="宋体" w:hAnsi="宋体" w:cs="宋体"/>
                <w:color w:val="000000" w:themeColor="text1"/>
                <w:kern w:val="0"/>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（5</w:t>
            </w:r>
            <w:r>
              <w:rPr>
                <w:rFonts w:ascii="宋体" w:hAnsi="宋体"/>
                <w:color w:val="000000" w:themeColor="text1"/>
                <w:szCs w:val="21"/>
                <w14:textFill>
                  <w14:solidFill>
                    <w14:schemeClr w14:val="tx1"/>
                  </w14:solidFill>
                </w14:textFill>
              </w:rPr>
              <w:t>分</w:t>
            </w:r>
            <w:r>
              <w:rPr>
                <w:rFonts w:hint="eastAsia" w:ascii="宋体" w:hAnsi="宋体"/>
                <w:color w:val="000000" w:themeColor="text1"/>
                <w:szCs w:val="21"/>
                <w14:textFill>
                  <w14:solidFill>
                    <w14:schemeClr w14:val="tx1"/>
                  </w14:solidFill>
                </w14:textFill>
              </w:rPr>
              <w:t>）</w:t>
            </w:r>
          </w:p>
        </w:tc>
        <w:tc>
          <w:tcPr>
            <w:tcW w:w="6648" w:type="dxa"/>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对项目的理解度</w:t>
            </w:r>
            <w:r>
              <w:rPr>
                <w:rFonts w:hint="eastAsia" w:ascii="宋体" w:hAnsi="宋体" w:cs="宋体"/>
                <w:color w:val="000000" w:themeColor="text1"/>
                <w:szCs w:val="21"/>
                <w14:textFill>
                  <w14:solidFill>
                    <w14:schemeClr w14:val="tx1"/>
                  </w14:solidFill>
                </w14:textFill>
              </w:rPr>
              <w:t>高，方案科学</w:t>
            </w:r>
            <w:r>
              <w:rPr>
                <w:rFonts w:ascii="宋体" w:hAnsi="宋体" w:cs="宋体"/>
                <w:color w:val="000000" w:themeColor="text1"/>
                <w:szCs w:val="21"/>
                <w14:textFill>
                  <w14:solidFill>
                    <w14:schemeClr w14:val="tx1"/>
                  </w14:solidFill>
                </w14:textFill>
              </w:rPr>
              <w:t>合理</w:t>
            </w:r>
            <w:r>
              <w:rPr>
                <w:rFonts w:hint="eastAsia" w:ascii="宋体" w:hAnsi="宋体" w:cs="宋体"/>
                <w:color w:val="000000" w:themeColor="text1"/>
                <w:szCs w:val="21"/>
                <w14:textFill>
                  <w14:solidFill>
                    <w14:schemeClr w14:val="tx1"/>
                  </w14:solidFill>
                </w14:textFill>
              </w:rPr>
              <w:t>，设备性能</w:t>
            </w:r>
            <w:r>
              <w:rPr>
                <w:rFonts w:ascii="宋体" w:hAnsi="宋体" w:cs="宋体"/>
                <w:color w:val="000000" w:themeColor="text1"/>
                <w:szCs w:val="21"/>
                <w14:textFill>
                  <w14:solidFill>
                    <w14:schemeClr w14:val="tx1"/>
                  </w14:solidFill>
                </w14:textFill>
              </w:rPr>
              <w:t>先进</w:t>
            </w:r>
            <w:r>
              <w:rPr>
                <w:rFonts w:hint="eastAsia" w:ascii="宋体" w:hAnsi="宋体" w:cs="宋体"/>
                <w:color w:val="000000" w:themeColor="text1"/>
                <w:szCs w:val="21"/>
                <w14:textFill>
                  <w14:solidFill>
                    <w14:schemeClr w14:val="tx1"/>
                  </w14:solidFill>
                </w14:textFill>
              </w:rPr>
              <w:t>性高，</w:t>
            </w:r>
            <w:r>
              <w:rPr>
                <w:rFonts w:ascii="宋体" w:hAnsi="宋体" w:cs="宋体"/>
                <w:color w:val="000000" w:themeColor="text1"/>
                <w:szCs w:val="21"/>
                <w14:textFill>
                  <w14:solidFill>
                    <w14:schemeClr w14:val="tx1"/>
                  </w14:solidFill>
                </w14:textFill>
              </w:rPr>
              <w:t>可操作性</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实施能力</w:t>
            </w:r>
            <w:r>
              <w:rPr>
                <w:rFonts w:hint="eastAsia" w:ascii="宋体" w:hAnsi="宋体" w:cs="宋体"/>
                <w:color w:val="000000" w:themeColor="text1"/>
                <w:szCs w:val="21"/>
                <w14:textFill>
                  <w14:solidFill>
                    <w14:schemeClr w14:val="tx1"/>
                  </w14:solidFill>
                </w14:textFill>
              </w:rPr>
              <w:t>强，得5分；对</w:t>
            </w:r>
            <w:r>
              <w:rPr>
                <w:rFonts w:ascii="宋体" w:hAnsi="宋体" w:cs="宋体"/>
                <w:color w:val="000000" w:themeColor="text1"/>
                <w:szCs w:val="21"/>
                <w14:textFill>
                  <w14:solidFill>
                    <w14:schemeClr w14:val="tx1"/>
                  </w14:solidFill>
                </w14:textFill>
              </w:rPr>
              <w:t>项目的理解</w:t>
            </w:r>
            <w:r>
              <w:rPr>
                <w:rFonts w:hint="eastAsia" w:ascii="宋体" w:hAnsi="宋体" w:cs="宋体"/>
                <w:color w:val="000000" w:themeColor="text1"/>
                <w:szCs w:val="21"/>
                <w14:textFill>
                  <w14:solidFill>
                    <w14:schemeClr w14:val="tx1"/>
                  </w14:solidFill>
                </w14:textFill>
              </w:rPr>
              <w:t>度较高，方案较科学</w:t>
            </w:r>
            <w:r>
              <w:rPr>
                <w:rFonts w:ascii="宋体" w:hAnsi="宋体" w:cs="宋体"/>
                <w:color w:val="000000" w:themeColor="text1"/>
                <w:szCs w:val="21"/>
                <w14:textFill>
                  <w14:solidFill>
                    <w14:schemeClr w14:val="tx1"/>
                  </w14:solidFill>
                </w14:textFill>
              </w:rPr>
              <w:t>合理</w:t>
            </w:r>
            <w:r>
              <w:rPr>
                <w:rFonts w:hint="eastAsia" w:ascii="宋体" w:hAnsi="宋体" w:cs="宋体"/>
                <w:color w:val="000000" w:themeColor="text1"/>
                <w:szCs w:val="21"/>
                <w14:textFill>
                  <w14:solidFill>
                    <w14:schemeClr w14:val="tx1"/>
                  </w14:solidFill>
                </w14:textFill>
              </w:rPr>
              <w:t>，设备性能较</w:t>
            </w:r>
            <w:r>
              <w:rPr>
                <w:rFonts w:ascii="宋体" w:hAnsi="宋体" w:cs="宋体"/>
                <w:color w:val="000000" w:themeColor="text1"/>
                <w:szCs w:val="21"/>
                <w14:textFill>
                  <w14:solidFill>
                    <w14:schemeClr w14:val="tx1"/>
                  </w14:solidFill>
                </w14:textFill>
              </w:rPr>
              <w:t>先进</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可操作性</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实施能力</w:t>
            </w:r>
            <w:r>
              <w:rPr>
                <w:rFonts w:hint="eastAsia" w:ascii="宋体" w:hAnsi="宋体" w:cs="宋体"/>
                <w:color w:val="000000" w:themeColor="text1"/>
                <w:szCs w:val="21"/>
                <w14:textFill>
                  <w14:solidFill>
                    <w14:schemeClr w14:val="tx1"/>
                  </w14:solidFill>
                </w14:textFill>
              </w:rPr>
              <w:t>较强，得3分；对</w:t>
            </w:r>
            <w:r>
              <w:rPr>
                <w:rFonts w:ascii="宋体" w:hAnsi="宋体" w:cs="宋体"/>
                <w:color w:val="000000" w:themeColor="text1"/>
                <w:szCs w:val="21"/>
                <w14:textFill>
                  <w14:solidFill>
                    <w14:schemeClr w14:val="tx1"/>
                  </w14:solidFill>
                </w14:textFill>
              </w:rPr>
              <w:t>项目的理解</w:t>
            </w:r>
            <w:r>
              <w:rPr>
                <w:rFonts w:hint="eastAsia" w:ascii="宋体" w:hAnsi="宋体" w:cs="宋体"/>
                <w:color w:val="000000" w:themeColor="text1"/>
                <w:szCs w:val="21"/>
                <w14:textFill>
                  <w14:solidFill>
                    <w14:schemeClr w14:val="tx1"/>
                  </w14:solidFill>
                </w14:textFill>
              </w:rPr>
              <w:t>度一般，方案较科学</w:t>
            </w:r>
            <w:r>
              <w:rPr>
                <w:rFonts w:ascii="宋体" w:hAnsi="宋体" w:cs="宋体"/>
                <w:color w:val="000000" w:themeColor="text1"/>
                <w:szCs w:val="21"/>
                <w14:textFill>
                  <w14:solidFill>
                    <w14:schemeClr w14:val="tx1"/>
                  </w14:solidFill>
                </w14:textFill>
              </w:rPr>
              <w:t>合理</w:t>
            </w:r>
            <w:r>
              <w:rPr>
                <w:rFonts w:hint="eastAsia" w:ascii="宋体" w:hAnsi="宋体" w:cs="宋体"/>
                <w:color w:val="000000" w:themeColor="text1"/>
                <w:szCs w:val="21"/>
                <w14:textFill>
                  <w14:solidFill>
                    <w14:schemeClr w14:val="tx1"/>
                  </w14:solidFill>
                </w14:textFill>
              </w:rPr>
              <w:t>，设备性能一般，</w:t>
            </w:r>
            <w:r>
              <w:rPr>
                <w:rFonts w:ascii="宋体" w:hAnsi="宋体" w:cs="宋体"/>
                <w:color w:val="000000" w:themeColor="text1"/>
                <w:szCs w:val="21"/>
                <w14:textFill>
                  <w14:solidFill>
                    <w14:schemeClr w14:val="tx1"/>
                  </w14:solidFill>
                </w14:textFill>
              </w:rPr>
              <w:t>可操作性</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实施能力</w:t>
            </w:r>
            <w:r>
              <w:rPr>
                <w:rFonts w:hint="eastAsia" w:ascii="宋体" w:hAnsi="宋体" w:cs="宋体"/>
                <w:color w:val="000000" w:themeColor="text1"/>
                <w:szCs w:val="21"/>
                <w14:textFill>
                  <w14:solidFill>
                    <w14:schemeClr w14:val="tx1"/>
                  </w14:solidFill>
                </w14:textFill>
              </w:rPr>
              <w:t>一般，得1分。</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（要求对实施中的实施团队组织、项目进程保障措施、项目质量监控措施等方面给出详细设计。）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shd w:val="clear" w:color="auto" w:fill="auto"/>
            <w:vAlign w:val="center"/>
          </w:tcPr>
          <w:p>
            <w:pPr>
              <w:spacing w:line="360"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1720" w:type="dxa"/>
            <w:shd w:val="clear" w:color="auto" w:fill="auto"/>
            <w:vAlign w:val="center"/>
          </w:tcPr>
          <w:p>
            <w:pPr>
              <w:spacing w:line="360" w:lineRule="auto"/>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售后服务和技术培训方案</w:t>
            </w:r>
          </w:p>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3分</w:t>
            </w:r>
            <w:r>
              <w:rPr>
                <w:rFonts w:hint="eastAsia" w:ascii="宋体" w:hAnsi="宋体"/>
                <w:color w:val="000000" w:themeColor="text1"/>
                <w:szCs w:val="21"/>
                <w14:textFill>
                  <w14:solidFill>
                    <w14:schemeClr w14:val="tx1"/>
                  </w14:solidFill>
                </w14:textFill>
              </w:rPr>
              <w:t>）</w:t>
            </w:r>
          </w:p>
        </w:tc>
        <w:tc>
          <w:tcPr>
            <w:tcW w:w="6648" w:type="dxa"/>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投标人提供的</w:t>
            </w:r>
            <w:r>
              <w:rPr>
                <w:rFonts w:hint="eastAsia" w:ascii="宋体" w:hAnsi="宋体" w:cs="宋体"/>
                <w:color w:val="000000" w:themeColor="text1"/>
                <w:kern w:val="0"/>
                <w:szCs w:val="21"/>
                <w14:textFill>
                  <w14:solidFill>
                    <w14:schemeClr w14:val="tx1"/>
                  </w14:solidFill>
                </w14:textFill>
              </w:rPr>
              <w:t>售后服务和技术培训方案具体、有效、有针对性，得3分；售后服务和技术培训方案比较具体、有效，针对性一般，得1分；方案一般，或没提供的，</w:t>
            </w:r>
            <w:r>
              <w:rPr>
                <w:rFonts w:hint="eastAsia" w:ascii="宋体" w:hAnsi="宋体" w:cs="宋体"/>
                <w:color w:val="000000" w:themeColor="text1"/>
                <w:szCs w:val="21"/>
                <w14:textFill>
                  <w14:solidFill>
                    <w14:schemeClr w14:val="tx1"/>
                  </w14:solidFill>
                </w14:textFill>
              </w:rPr>
              <w:t>得</w:t>
            </w:r>
            <w:r>
              <w:rPr>
                <w:rFonts w:ascii="宋体" w:hAnsi="宋体" w:cs="宋体"/>
                <w:color w:val="000000" w:themeColor="text1"/>
                <w:szCs w:val="21"/>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分。</w:t>
            </w:r>
          </w:p>
        </w:tc>
      </w:tr>
    </w:tbl>
    <w:p>
      <w:pPr>
        <w:pStyle w:val="34"/>
        <w:spacing w:line="360" w:lineRule="auto"/>
        <w:ind w:firstLine="0"/>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备注：1、</w:t>
      </w:r>
      <w:r>
        <w:rPr>
          <w:bCs/>
          <w:color w:val="000000" w:themeColor="text1"/>
          <w:sz w:val="21"/>
          <w:szCs w:val="21"/>
          <w14:textFill>
            <w14:solidFill>
              <w14:schemeClr w14:val="tx1"/>
            </w14:solidFill>
          </w14:textFill>
        </w:rPr>
        <w:t>投标文件提供的产品彩页、网上截图、检测报告、证书等方面的材料需加盖投标人公章，材料未加盖投标人公章将影响评分，不作废标处理。投标人对提交的资料真实性负责，如提供的资料不真实，将认定为提供虚假材料谋取中标，按相关法律法规规定严肃处理</w:t>
      </w:r>
      <w:r>
        <w:rPr>
          <w:rFonts w:hint="eastAsia"/>
          <w:bCs/>
          <w:color w:val="000000" w:themeColor="text1"/>
          <w:sz w:val="21"/>
          <w:szCs w:val="21"/>
          <w14:textFill>
            <w14:solidFill>
              <w14:schemeClr w14:val="tx1"/>
            </w14:solidFill>
          </w14:textFill>
        </w:rPr>
        <w:t>。</w:t>
      </w:r>
    </w:p>
    <w:p>
      <w:pPr>
        <w:pStyle w:val="34"/>
        <w:spacing w:line="360" w:lineRule="auto"/>
        <w:ind w:firstLine="0"/>
        <w:rPr>
          <w:rFonts w:ascii="宋体" w:hAnsi="宋体" w:eastAsia="宋体" w:cs="宋体"/>
          <w:color w:val="000000" w:themeColor="text1"/>
          <w:sz w:val="21"/>
          <w:szCs w:val="21"/>
          <w14:textFill>
            <w14:solidFill>
              <w14:schemeClr w14:val="tx1"/>
            </w14:solidFill>
          </w14:textFill>
        </w:rPr>
      </w:pPr>
      <w:r>
        <w:rPr>
          <w:rFonts w:hint="eastAsia" w:ascii="宋体" w:eastAsia="宋体"/>
          <w:bCs/>
          <w:color w:val="000000" w:themeColor="text1"/>
          <w:sz w:val="21"/>
          <w:szCs w:val="21"/>
          <w14:textFill>
            <w14:solidFill>
              <w14:schemeClr w14:val="tx1"/>
            </w14:solidFill>
          </w14:textFill>
        </w:rPr>
        <w:t>2、以上证明文件均提供加盖投标人公章复印件，原件开标当日备查，若中标将在发放中标通知书前逐一核对核查原件，请勿提供虚假、过期材料，否则将依据相关规定严肃处理。</w:t>
      </w:r>
    </w:p>
    <w:p>
      <w:pPr>
        <w:pStyle w:val="29"/>
        <w:spacing w:line="360" w:lineRule="auto"/>
        <w:ind w:firstLine="0" w:firstLineChars="0"/>
        <w:rPr>
          <w:rFonts w:ascii="宋体" w:hAnsi="宋体" w:eastAsia="宋体" w:cs="宋体"/>
          <w:bCs/>
          <w:color w:val="000000" w:themeColor="text1"/>
          <w:szCs w:val="21"/>
          <w14:textFill>
            <w14:solidFill>
              <w14:schemeClr w14:val="tx1"/>
            </w14:solidFill>
          </w14:textFill>
        </w:rPr>
      </w:pPr>
    </w:p>
    <w:p>
      <w:pPr>
        <w:pStyle w:val="29"/>
        <w:spacing w:line="360" w:lineRule="auto"/>
        <w:ind w:firstLine="0" w:firstLineChars="0"/>
        <w:rPr>
          <w:rFonts w:ascii="宋体" w:hAnsi="宋体" w:eastAsia="宋体" w:cs="宋体"/>
          <w:bCs/>
          <w:color w:val="000000" w:themeColor="text1"/>
          <w:szCs w:val="21"/>
          <w14:textFill>
            <w14:solidFill>
              <w14:schemeClr w14:val="tx1"/>
            </w14:solidFill>
          </w14:textFill>
        </w:rPr>
      </w:pPr>
    </w:p>
    <w:p>
      <w:pPr>
        <w:pStyle w:val="3"/>
        <w:keepNext w:val="0"/>
        <w:keepLines w:val="0"/>
        <w:pageBreakBefore/>
        <w:spacing w:line="360" w:lineRule="auto"/>
        <w:jc w:val="center"/>
        <w:rPr>
          <w:rFonts w:ascii="宋体" w:hAnsi="宋体" w:eastAsia="宋体" w:cs="宋体"/>
          <w:color w:val="000000" w:themeColor="text1"/>
          <w:spacing w:val="20"/>
          <w:sz w:val="32"/>
          <w:szCs w:val="32"/>
          <w14:textFill>
            <w14:solidFill>
              <w14:schemeClr w14:val="tx1"/>
            </w14:solidFill>
          </w14:textFill>
        </w:rPr>
      </w:pPr>
      <w:bookmarkStart w:id="112" w:name="_Toc405313956"/>
      <w:bookmarkStart w:id="113" w:name="_Toc391627752"/>
      <w:bookmarkStart w:id="114" w:name="_Toc24397"/>
      <w:r>
        <w:rPr>
          <w:rFonts w:hint="eastAsia" w:ascii="宋体" w:hAnsi="宋体" w:eastAsia="宋体" w:cs="宋体"/>
          <w:color w:val="000000" w:themeColor="text1"/>
          <w:spacing w:val="20"/>
          <w:sz w:val="32"/>
          <w:szCs w:val="32"/>
          <w14:textFill>
            <w14:solidFill>
              <w14:schemeClr w14:val="tx1"/>
            </w14:solidFill>
          </w14:textFill>
        </w:rPr>
        <w:t>第五部分 拟签订合同</w:t>
      </w:r>
      <w:bookmarkEnd w:id="112"/>
      <w:bookmarkEnd w:id="113"/>
      <w:r>
        <w:rPr>
          <w:rFonts w:hint="eastAsia" w:ascii="宋体" w:hAnsi="宋体" w:eastAsia="宋体" w:cs="宋体"/>
          <w:color w:val="000000" w:themeColor="text1"/>
          <w:spacing w:val="20"/>
          <w:sz w:val="32"/>
          <w:szCs w:val="32"/>
          <w14:textFill>
            <w14:solidFill>
              <w14:schemeClr w14:val="tx1"/>
            </w14:solidFill>
          </w14:textFill>
        </w:rPr>
        <w:t>文本</w:t>
      </w:r>
      <w:bookmarkEnd w:id="114"/>
    </w:p>
    <w:p>
      <w:pPr>
        <w:spacing w:after="60" w:line="360" w:lineRule="auto"/>
        <w:jc w:val="center"/>
        <w:rPr>
          <w:b/>
          <w:color w:val="000000" w:themeColor="text1"/>
          <w:sz w:val="52"/>
          <w14:textFill>
            <w14:solidFill>
              <w14:schemeClr w14:val="tx1"/>
            </w14:solidFill>
          </w14:textFill>
        </w:rPr>
      </w:pPr>
      <w:bookmarkStart w:id="115" w:name="_Toc391627753"/>
      <w:bookmarkStart w:id="116" w:name="_Toc405313957"/>
    </w:p>
    <w:p>
      <w:pPr>
        <w:spacing w:after="60" w:line="360" w:lineRule="auto"/>
        <w:jc w:val="center"/>
        <w:rPr>
          <w:rFonts w:ascii="仿宋_GB2312" w:hAnsi="仿宋_GB2312" w:eastAsia="仿宋_GB2312" w:cs="仿宋_GB2312"/>
          <w:color w:val="000000" w:themeColor="text1"/>
          <w:sz w:val="72"/>
          <w:szCs w:val="72"/>
          <w14:textFill>
            <w14:solidFill>
              <w14:schemeClr w14:val="tx1"/>
            </w14:solidFill>
          </w14:textFill>
        </w:rPr>
      </w:pPr>
      <w:r>
        <w:rPr>
          <w:rFonts w:hint="eastAsia" w:ascii="仿宋_GB2312" w:hAnsi="仿宋_GB2312" w:eastAsia="仿宋_GB2312" w:cs="仿宋_GB2312"/>
          <w:color w:val="000000" w:themeColor="text1"/>
          <w:sz w:val="72"/>
          <w:szCs w:val="72"/>
          <w14:textFill>
            <w14:solidFill>
              <w14:schemeClr w14:val="tx1"/>
            </w14:solidFill>
          </w14:textFill>
        </w:rPr>
        <w:t>政府采购合同</w:t>
      </w:r>
    </w:p>
    <w:p>
      <w:pPr>
        <w:spacing w:after="60" w:line="360" w:lineRule="auto"/>
        <w:jc w:val="center"/>
        <w:rPr>
          <w:rFonts w:ascii="仿宋_GB2312" w:hAnsi="仿宋_GB2312" w:eastAsia="仿宋_GB2312" w:cs="仿宋_GB2312"/>
          <w:b/>
          <w:color w:val="000000" w:themeColor="text1"/>
          <w14:textFill>
            <w14:solidFill>
              <w14:schemeClr w14:val="tx1"/>
            </w14:solidFill>
          </w14:textFill>
        </w:rPr>
      </w:pPr>
    </w:p>
    <w:p>
      <w:pPr>
        <w:spacing w:after="60" w:line="360" w:lineRule="auto"/>
        <w:jc w:val="center"/>
        <w:rPr>
          <w:rFonts w:ascii="仿宋_GB2312" w:hAnsi="仿宋_GB2312" w:eastAsia="仿宋_GB2312" w:cs="仿宋_GB2312"/>
          <w:b/>
          <w:color w:val="000000" w:themeColor="text1"/>
          <w14:textFill>
            <w14:solidFill>
              <w14:schemeClr w14:val="tx1"/>
            </w14:solidFill>
          </w14:textFill>
        </w:rPr>
      </w:pPr>
    </w:p>
    <w:p>
      <w:pPr>
        <w:spacing w:after="60" w:line="360" w:lineRule="auto"/>
        <w:jc w:val="center"/>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（合同编号：）</w:t>
      </w:r>
    </w:p>
    <w:p>
      <w:pPr>
        <w:spacing w:after="60" w:line="360" w:lineRule="auto"/>
        <w:jc w:val="center"/>
        <w:rPr>
          <w:rFonts w:ascii="仿宋_GB2312" w:hAnsi="仿宋_GB2312" w:eastAsia="仿宋_GB2312" w:cs="仿宋_GB2312"/>
          <w:b/>
          <w:color w:val="000000" w:themeColor="text1"/>
          <w14:textFill>
            <w14:solidFill>
              <w14:schemeClr w14:val="tx1"/>
            </w14:solidFill>
          </w14:textFill>
        </w:rPr>
      </w:pPr>
    </w:p>
    <w:p>
      <w:pPr>
        <w:spacing w:after="60" w:line="360" w:lineRule="auto"/>
        <w:jc w:val="center"/>
        <w:rPr>
          <w:rFonts w:ascii="仿宋_GB2312" w:hAnsi="仿宋_GB2312" w:eastAsia="仿宋_GB2312" w:cs="仿宋_GB2312"/>
          <w:b/>
          <w:color w:val="000000" w:themeColor="text1"/>
          <w14:textFill>
            <w14:solidFill>
              <w14:schemeClr w14:val="tx1"/>
            </w14:solidFill>
          </w14:textFill>
        </w:rPr>
      </w:pPr>
    </w:p>
    <w:p>
      <w:pPr>
        <w:spacing w:after="60" w:line="360" w:lineRule="auto"/>
        <w:jc w:val="center"/>
        <w:rPr>
          <w:rFonts w:ascii="仿宋_GB2312" w:hAnsi="仿宋_GB2312" w:eastAsia="仿宋_GB2312" w:cs="仿宋_GB2312"/>
          <w:b/>
          <w:color w:val="000000" w:themeColor="text1"/>
          <w14:textFill>
            <w14:solidFill>
              <w14:schemeClr w14:val="tx1"/>
            </w14:solidFill>
          </w14:textFill>
        </w:rPr>
      </w:pPr>
    </w:p>
    <w:p>
      <w:pPr>
        <w:spacing w:after="60" w:line="360" w:lineRule="auto"/>
        <w:jc w:val="center"/>
        <w:rPr>
          <w:rFonts w:ascii="仿宋_GB2312" w:hAnsi="仿宋_GB2312" w:eastAsia="仿宋_GB2312" w:cs="仿宋_GB2312"/>
          <w:b/>
          <w:color w:val="000000" w:themeColor="text1"/>
          <w14:textFill>
            <w14:solidFill>
              <w14:schemeClr w14:val="tx1"/>
            </w14:solidFill>
          </w14:textFill>
        </w:rPr>
      </w:pPr>
    </w:p>
    <w:p>
      <w:pPr>
        <w:spacing w:after="60" w:line="360" w:lineRule="auto"/>
        <w:jc w:val="center"/>
        <w:rPr>
          <w:rFonts w:ascii="仿宋_GB2312" w:hAnsi="仿宋_GB2312" w:eastAsia="仿宋_GB2312" w:cs="仿宋_GB2312"/>
          <w:b/>
          <w:color w:val="000000" w:themeColor="text1"/>
          <w14:textFill>
            <w14:solidFill>
              <w14:schemeClr w14:val="tx1"/>
            </w14:solidFill>
          </w14:textFill>
        </w:rPr>
      </w:pPr>
    </w:p>
    <w:p>
      <w:pPr>
        <w:spacing w:after="60" w:line="360" w:lineRule="auto"/>
        <w:ind w:firstLine="1751" w:firstLineChars="545"/>
        <w:rPr>
          <w:rFonts w:ascii="仿宋_GB2312" w:hAnsi="仿宋_GB2312" w:eastAsia="仿宋_GB2312" w:cs="仿宋_GB2312"/>
          <w:b/>
          <w:color w:val="000000" w:themeColor="text1"/>
          <w:sz w:val="32"/>
          <w:szCs w:val="32"/>
          <w:u w:val="single"/>
          <w14:textFill>
            <w14:solidFill>
              <w14:schemeClr w14:val="tx1"/>
            </w14:solidFill>
          </w14:textFill>
        </w:rPr>
      </w:pPr>
      <w:r>
        <w:rPr>
          <w:rFonts w:hint="eastAsia" w:ascii="仿宋_GB2312" w:hAnsi="仿宋_GB2312" w:eastAsia="仿宋_GB2312" w:cs="仿宋_GB2312"/>
          <w:b/>
          <w:color w:val="000000" w:themeColor="text1"/>
          <w:sz w:val="32"/>
          <w:szCs w:val="32"/>
          <w:u w:val="single"/>
          <w14:textFill>
            <w14:solidFill>
              <w14:schemeClr w14:val="tx1"/>
            </w14:solidFill>
          </w14:textFill>
        </w:rPr>
        <w:t xml:space="preserve">采购方（甲方）：                       </w:t>
      </w:r>
    </w:p>
    <w:p>
      <w:pPr>
        <w:spacing w:after="60" w:line="360" w:lineRule="auto"/>
        <w:ind w:firstLine="1751" w:firstLineChars="545"/>
        <w:rPr>
          <w:rFonts w:ascii="仿宋_GB2312" w:hAnsi="仿宋_GB2312" w:eastAsia="仿宋_GB2312" w:cs="仿宋_GB2312"/>
          <w:b/>
          <w:color w:val="000000" w:themeColor="text1"/>
          <w:sz w:val="32"/>
          <w:szCs w:val="32"/>
          <w:u w:val="single"/>
          <w14:textFill>
            <w14:solidFill>
              <w14:schemeClr w14:val="tx1"/>
            </w14:solidFill>
          </w14:textFill>
        </w:rPr>
      </w:pPr>
      <w:r>
        <w:rPr>
          <w:rFonts w:hint="eastAsia" w:ascii="仿宋_GB2312" w:hAnsi="仿宋_GB2312" w:eastAsia="仿宋_GB2312" w:cs="仿宋_GB2312"/>
          <w:b/>
          <w:color w:val="000000" w:themeColor="text1"/>
          <w:sz w:val="32"/>
          <w:szCs w:val="32"/>
          <w:u w:val="single"/>
          <w14:textFill>
            <w14:solidFill>
              <w14:schemeClr w14:val="tx1"/>
            </w14:solidFill>
          </w14:textFill>
        </w:rPr>
        <w:t xml:space="preserve">中标人（乙方）：                       </w:t>
      </w:r>
    </w:p>
    <w:p>
      <w:pPr>
        <w:spacing w:after="60" w:line="360" w:lineRule="auto"/>
        <w:jc w:val="center"/>
        <w:rPr>
          <w:rFonts w:ascii="仿宋_GB2312" w:hAnsi="仿宋_GB2312" w:eastAsia="仿宋_GB2312" w:cs="仿宋_GB2312"/>
          <w:b/>
          <w:color w:val="000000" w:themeColor="text1"/>
          <w:sz w:val="32"/>
          <w:szCs w:val="32"/>
          <w14:textFill>
            <w14:solidFill>
              <w14:schemeClr w14:val="tx1"/>
            </w14:solidFill>
          </w14:textFill>
        </w:rPr>
      </w:pPr>
    </w:p>
    <w:p>
      <w:pPr>
        <w:spacing w:after="60" w:line="360" w:lineRule="auto"/>
        <w:ind w:firstLine="1928" w:firstLineChars="600"/>
        <w:rPr>
          <w:rFonts w:ascii="仿宋_GB2312" w:hAnsi="仿宋_GB2312" w:eastAsia="仿宋_GB2312" w:cs="仿宋_GB2312"/>
          <w:b/>
          <w:color w:val="000000" w:themeColor="text1"/>
          <w:sz w:val="32"/>
          <w:szCs w:val="32"/>
          <w:u w:val="single"/>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合同签订时间：</w:t>
      </w:r>
      <w:r>
        <w:rPr>
          <w:rFonts w:hint="eastAsia" w:ascii="仿宋_GB2312" w:hAnsi="仿宋_GB2312" w:eastAsia="仿宋_GB2312" w:cs="仿宋_GB2312"/>
          <w:b/>
          <w:color w:val="000000" w:themeColor="text1"/>
          <w:sz w:val="32"/>
          <w:szCs w:val="32"/>
          <w:u w:val="single"/>
          <w14:textFill>
            <w14:solidFill>
              <w14:schemeClr w14:val="tx1"/>
            </w14:solidFill>
          </w14:textFill>
        </w:rPr>
        <w:t xml:space="preserve">     年  月  日</w:t>
      </w:r>
    </w:p>
    <w:p>
      <w:pPr>
        <w:spacing w:after="60" w:line="360" w:lineRule="auto"/>
        <w:ind w:firstLine="1928" w:firstLineChars="6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合同签订地点：</w:t>
      </w:r>
    </w:p>
    <w:p>
      <w:pPr>
        <w:spacing w:after="60" w:line="360" w:lineRule="auto"/>
        <w:rPr>
          <w:rFonts w:ascii="仿宋_GB2312" w:hAnsi="仿宋_GB2312" w:eastAsia="仿宋_GB2312" w:cs="仿宋_GB2312"/>
          <w:b/>
          <w:color w:val="000000" w:themeColor="text1"/>
          <w:sz w:val="32"/>
          <w:szCs w:val="32"/>
          <w:u w:val="single"/>
          <w14:textFill>
            <w14:solidFill>
              <w14:schemeClr w14:val="tx1"/>
            </w14:solidFill>
          </w14:textFill>
        </w:rPr>
      </w:pPr>
    </w:p>
    <w:p>
      <w:pPr>
        <w:spacing w:after="60" w:line="360" w:lineRule="auto"/>
        <w:rPr>
          <w:rFonts w:ascii="仿宋_GB2312" w:hAnsi="仿宋_GB2312" w:eastAsia="仿宋_GB2312" w:cs="仿宋_GB2312"/>
          <w:b/>
          <w:color w:val="000000" w:themeColor="text1"/>
          <w:sz w:val="32"/>
          <w:szCs w:val="32"/>
          <w:u w:val="single"/>
          <w14:textFill>
            <w14:solidFill>
              <w14:schemeClr w14:val="tx1"/>
            </w14:solidFill>
          </w14:textFill>
        </w:rPr>
      </w:pPr>
    </w:p>
    <w:p>
      <w:pPr>
        <w:pStyle w:val="35"/>
        <w:spacing w:before="156" w:after="156" w:line="360" w:lineRule="auto"/>
        <w:rPr>
          <w:rFonts w:ascii="仿宋" w:hAnsi="仿宋" w:eastAsia="仿宋" w:cs="仿宋"/>
          <w:color w:val="000000" w:themeColor="text1"/>
          <w:spacing w:val="0"/>
          <w:kern w:val="2"/>
          <w:sz w:val="21"/>
          <w:szCs w:val="21"/>
          <w14:textFill>
            <w14:solidFill>
              <w14:schemeClr w14:val="tx1"/>
            </w14:solidFill>
          </w14:textFill>
        </w:rPr>
      </w:pPr>
      <w:r>
        <w:rPr>
          <w:rFonts w:hint="eastAsia" w:ascii="仿宋_GB2312" w:hAnsi="仿宋_GB2312" w:eastAsia="仿宋_GB2312" w:cs="仿宋_GB2312"/>
          <w:b/>
          <w:bCs/>
          <w:color w:val="000000" w:themeColor="text1"/>
          <w:spacing w:val="20"/>
          <w14:textFill>
            <w14:solidFill>
              <w14:schemeClr w14:val="tx1"/>
            </w14:solidFill>
          </w14:textFill>
        </w:rPr>
        <w:br w:type="page"/>
      </w:r>
      <w:r>
        <w:rPr>
          <w:rFonts w:hint="eastAsia" w:ascii="仿宋" w:hAnsi="仿宋" w:eastAsia="仿宋" w:cs="仿宋"/>
          <w:color w:val="000000" w:themeColor="text1"/>
          <w:spacing w:val="0"/>
          <w:kern w:val="2"/>
          <w:sz w:val="21"/>
          <w:szCs w:val="21"/>
          <w14:textFill>
            <w14:solidFill>
              <w14:schemeClr w14:val="tx1"/>
            </w14:solidFill>
          </w14:textFill>
        </w:rPr>
        <w:t>合同编号：</w:t>
      </w:r>
    </w:p>
    <w:p>
      <w:pPr>
        <w:spacing w:before="156" w:after="156"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甲方：</w:t>
      </w:r>
    </w:p>
    <w:p>
      <w:pPr>
        <w:pStyle w:val="35"/>
        <w:spacing w:before="156" w:after="156" w:line="360" w:lineRule="auto"/>
        <w:rPr>
          <w:rFonts w:ascii="仿宋" w:hAnsi="仿宋" w:eastAsia="仿宋" w:cs="仿宋"/>
          <w:color w:val="000000" w:themeColor="text1"/>
          <w:spacing w:val="0"/>
          <w:kern w:val="2"/>
          <w:sz w:val="21"/>
          <w:szCs w:val="21"/>
          <w14:textFill>
            <w14:solidFill>
              <w14:schemeClr w14:val="tx1"/>
            </w14:solidFill>
          </w14:textFill>
        </w:rPr>
      </w:pPr>
      <w:r>
        <w:rPr>
          <w:rFonts w:hint="eastAsia" w:ascii="仿宋" w:hAnsi="仿宋" w:eastAsia="仿宋" w:cs="仿宋"/>
          <w:color w:val="000000" w:themeColor="text1"/>
          <w:spacing w:val="0"/>
          <w:kern w:val="2"/>
          <w:sz w:val="21"/>
          <w:szCs w:val="21"/>
          <w14:textFill>
            <w14:solidFill>
              <w14:schemeClr w14:val="tx1"/>
            </w14:solidFill>
          </w14:textFill>
        </w:rPr>
        <w:t>乙方：</w:t>
      </w:r>
    </w:p>
    <w:p>
      <w:pPr>
        <w:spacing w:before="156" w:after="156" w:line="360" w:lineRule="auto"/>
        <w:ind w:firstLine="420" w:firstLineChars="2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甲乙双方根据《中华人民共和国合同法》及</w:t>
      </w:r>
      <w:r>
        <w:rPr>
          <w:rFonts w:hint="eastAsia" w:ascii="仿宋" w:hAnsi="仿宋" w:eastAsia="仿宋" w:cs="仿宋"/>
          <w:color w:val="000000" w:themeColor="text1"/>
          <w:szCs w:val="21"/>
          <w:u w:val="single"/>
          <w14:textFill>
            <w14:solidFill>
              <w14:schemeClr w14:val="tx1"/>
            </w14:solidFill>
          </w14:textFill>
        </w:rPr>
        <w:t xml:space="preserve">      </w:t>
      </w:r>
      <w:r>
        <w:rPr>
          <w:rFonts w:hint="eastAsia" w:ascii="仿宋" w:hAnsi="仿宋" w:eastAsia="仿宋" w:cs="仿宋"/>
          <w:color w:val="000000" w:themeColor="text1"/>
          <w:szCs w:val="21"/>
          <w14:textFill>
            <w14:solidFill>
              <w14:schemeClr w14:val="tx1"/>
            </w14:solidFill>
          </w14:textFill>
        </w:rPr>
        <w:t>年</w:t>
      </w:r>
      <w:r>
        <w:rPr>
          <w:rFonts w:hint="eastAsia" w:ascii="仿宋" w:hAnsi="仿宋" w:eastAsia="仿宋" w:cs="仿宋"/>
          <w:color w:val="000000" w:themeColor="text1"/>
          <w:szCs w:val="21"/>
          <w:u w:val="single"/>
          <w14:textFill>
            <w14:solidFill>
              <w14:schemeClr w14:val="tx1"/>
            </w14:solidFill>
          </w14:textFill>
        </w:rPr>
        <w:t xml:space="preserve">   </w:t>
      </w:r>
      <w:r>
        <w:rPr>
          <w:rFonts w:hint="eastAsia" w:ascii="仿宋" w:hAnsi="仿宋" w:eastAsia="仿宋" w:cs="仿宋"/>
          <w:color w:val="000000" w:themeColor="text1"/>
          <w:szCs w:val="21"/>
          <w14:textFill>
            <w14:solidFill>
              <w14:schemeClr w14:val="tx1"/>
            </w14:solidFill>
          </w14:textFill>
        </w:rPr>
        <w:t>月</w:t>
      </w:r>
      <w:r>
        <w:rPr>
          <w:rFonts w:hint="eastAsia" w:ascii="仿宋" w:hAnsi="仿宋" w:eastAsia="仿宋" w:cs="仿宋"/>
          <w:color w:val="000000" w:themeColor="text1"/>
          <w:szCs w:val="21"/>
          <w:u w:val="single"/>
          <w14:textFill>
            <w14:solidFill>
              <w14:schemeClr w14:val="tx1"/>
            </w14:solidFill>
          </w14:textFill>
        </w:rPr>
        <w:t xml:space="preserve">   </w:t>
      </w:r>
      <w:r>
        <w:rPr>
          <w:rFonts w:hint="eastAsia" w:ascii="仿宋" w:hAnsi="仿宋" w:eastAsia="仿宋" w:cs="仿宋"/>
          <w:color w:val="000000" w:themeColor="text1"/>
          <w:szCs w:val="21"/>
          <w14:textFill>
            <w14:solidFill>
              <w14:schemeClr w14:val="tx1"/>
            </w14:solidFill>
          </w14:textFill>
        </w:rPr>
        <w:t>日</w:t>
      </w:r>
      <w:r>
        <w:rPr>
          <w:rFonts w:hint="eastAsia" w:ascii="仿宋" w:hAnsi="仿宋" w:eastAsia="仿宋" w:cs="仿宋"/>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u w:val="single"/>
          <w14:textFill>
            <w14:solidFill>
              <w14:schemeClr w14:val="tx1"/>
            </w14:solidFill>
          </w14:textFill>
        </w:rPr>
        <w:t>（</w:t>
      </w:r>
      <w:r>
        <w:rPr>
          <w:rFonts w:hint="eastAsia" w:ascii="宋体" w:hAnsi="宋体" w:eastAsia="宋体" w:cs="宋体"/>
          <w:b/>
          <w:color w:val="000000" w:themeColor="text1"/>
          <w:szCs w:val="21"/>
          <w:u w:val="single"/>
          <w14:textFill>
            <w14:solidFill>
              <w14:schemeClr w14:val="tx1"/>
            </w14:solidFill>
          </w14:textFill>
        </w:rPr>
        <w:t>项目名称</w:t>
      </w:r>
      <w:r>
        <w:rPr>
          <w:rFonts w:hint="eastAsia" w:ascii="宋体" w:hAnsi="宋体" w:eastAsia="宋体" w:cs="宋体"/>
          <w:color w:val="000000" w:themeColor="text1"/>
          <w:szCs w:val="21"/>
          <w:u w:val="single"/>
          <w14:textFill>
            <w14:solidFill>
              <w14:schemeClr w14:val="tx1"/>
            </w14:solidFill>
          </w14:textFill>
        </w:rPr>
        <w:t>）</w:t>
      </w:r>
      <w:r>
        <w:rPr>
          <w:rFonts w:hint="eastAsia" w:ascii="仿宋" w:hAnsi="仿宋" w:eastAsia="仿宋" w:cs="仿宋"/>
          <w:color w:val="000000" w:themeColor="text1"/>
          <w:szCs w:val="21"/>
          <w:u w:val="single"/>
          <w14:textFill>
            <w14:solidFill>
              <w14:schemeClr w14:val="tx1"/>
            </w14:solidFill>
          </w14:textFill>
        </w:rPr>
        <w:t xml:space="preserve">      </w:t>
      </w:r>
      <w:r>
        <w:rPr>
          <w:rFonts w:hint="eastAsia" w:ascii="仿宋" w:hAnsi="仿宋" w:eastAsia="仿宋" w:cs="仿宋"/>
          <w:color w:val="000000" w:themeColor="text1"/>
          <w:szCs w:val="21"/>
          <w14:textFill>
            <w14:solidFill>
              <w14:schemeClr w14:val="tx1"/>
            </w14:solidFill>
          </w14:textFill>
        </w:rPr>
        <w:t>招标结果和“招标文件”的要求，经双方协商一致，签订本合同。</w:t>
      </w:r>
    </w:p>
    <w:p>
      <w:pPr>
        <w:pStyle w:val="35"/>
        <w:numPr>
          <w:ilvl w:val="2"/>
          <w:numId w:val="40"/>
        </w:numPr>
        <w:spacing w:before="156" w:after="156" w:line="360" w:lineRule="auto"/>
        <w:rPr>
          <w:rFonts w:ascii="仿宋" w:hAnsi="仿宋" w:eastAsia="仿宋" w:cs="仿宋"/>
          <w:color w:val="000000" w:themeColor="text1"/>
          <w:spacing w:val="0"/>
          <w:kern w:val="2"/>
          <w:sz w:val="21"/>
          <w:szCs w:val="21"/>
          <w14:textFill>
            <w14:solidFill>
              <w14:schemeClr w14:val="tx1"/>
            </w14:solidFill>
          </w14:textFill>
        </w:rPr>
      </w:pPr>
      <w:r>
        <w:rPr>
          <w:rFonts w:hint="eastAsia" w:ascii="仿宋" w:hAnsi="仿宋" w:eastAsia="仿宋" w:cs="仿宋"/>
          <w:color w:val="000000" w:themeColor="text1"/>
          <w:spacing w:val="0"/>
          <w:kern w:val="2"/>
          <w:sz w:val="21"/>
          <w:szCs w:val="21"/>
          <w14:textFill>
            <w14:solidFill>
              <w14:schemeClr w14:val="tx1"/>
            </w14:solidFill>
          </w14:textFill>
        </w:rPr>
        <w:t>项目内容</w:t>
      </w:r>
    </w:p>
    <w:p>
      <w:pPr>
        <w:numPr>
          <w:ilvl w:val="0"/>
          <w:numId w:val="41"/>
        </w:numPr>
        <w:spacing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u w:val="single"/>
          <w14:textFill>
            <w14:solidFill>
              <w14:schemeClr w14:val="tx1"/>
            </w14:solidFill>
          </w14:textFill>
        </w:rPr>
        <w:t>（</w:t>
      </w:r>
      <w:r>
        <w:rPr>
          <w:rFonts w:hint="eastAsia" w:ascii="宋体" w:hAnsi="宋体" w:eastAsia="宋体" w:cs="宋体"/>
          <w:b/>
          <w:color w:val="000000" w:themeColor="text1"/>
          <w:szCs w:val="21"/>
          <w:u w:val="single"/>
          <w14:textFill>
            <w14:solidFill>
              <w14:schemeClr w14:val="tx1"/>
            </w14:solidFill>
          </w14:textFill>
        </w:rPr>
        <w:t>项目名称</w:t>
      </w:r>
      <w:r>
        <w:rPr>
          <w:rFonts w:hint="eastAsia" w:ascii="宋体" w:hAnsi="宋体" w:eastAsia="宋体" w:cs="宋体"/>
          <w:color w:val="000000" w:themeColor="text1"/>
          <w:szCs w:val="21"/>
          <w:u w:val="single"/>
          <w14:textFill>
            <w14:solidFill>
              <w14:schemeClr w14:val="tx1"/>
            </w14:solidFill>
          </w14:textFill>
        </w:rPr>
        <w:t>）</w:t>
      </w:r>
      <w:r>
        <w:rPr>
          <w:rFonts w:hint="eastAsia" w:ascii="仿宋" w:hAnsi="仿宋" w:eastAsia="仿宋" w:cs="仿宋"/>
          <w:color w:val="000000" w:themeColor="text1"/>
          <w:szCs w:val="21"/>
          <w:u w:val="single"/>
          <w14:textFill>
            <w14:solidFill>
              <w14:schemeClr w14:val="tx1"/>
            </w14:solidFill>
          </w14:textFill>
        </w:rPr>
        <w:t xml:space="preserve">      </w:t>
      </w:r>
      <w:r>
        <w:rPr>
          <w:rFonts w:hint="eastAsia" w:ascii="仿宋" w:hAnsi="仿宋" w:eastAsia="仿宋" w:cs="仿宋"/>
          <w:color w:val="000000" w:themeColor="text1"/>
          <w:szCs w:val="21"/>
          <w14:textFill>
            <w14:solidFill>
              <w14:schemeClr w14:val="tx1"/>
            </w14:solidFill>
          </w14:textFill>
        </w:rPr>
        <w:t>。</w:t>
      </w:r>
    </w:p>
    <w:p>
      <w:pPr>
        <w:spacing w:before="156" w:after="156" w:line="360" w:lineRule="auto"/>
        <w:ind w:left="425"/>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本合同总金额为人民币</w:t>
      </w:r>
      <w:r>
        <w:rPr>
          <w:rFonts w:hint="eastAsia" w:ascii="仿宋" w:hAnsi="仿宋" w:eastAsia="仿宋" w:cs="仿宋"/>
          <w:color w:val="000000" w:themeColor="text1"/>
          <w:szCs w:val="21"/>
          <w:u w:val="single"/>
          <w14:textFill>
            <w14:solidFill>
              <w14:schemeClr w14:val="tx1"/>
            </w14:solidFill>
          </w14:textFill>
        </w:rPr>
        <w:t xml:space="preserve">             </w:t>
      </w:r>
      <w:r>
        <w:rPr>
          <w:rFonts w:hint="eastAsia" w:ascii="仿宋" w:hAnsi="仿宋" w:eastAsia="仿宋" w:cs="仿宋"/>
          <w:color w:val="000000" w:themeColor="text1"/>
          <w:szCs w:val="21"/>
          <w14:textFill>
            <w14:solidFill>
              <w14:schemeClr w14:val="tx1"/>
            </w14:solidFill>
          </w14:textFill>
        </w:rPr>
        <w:t>元，大写</w:t>
      </w:r>
      <w:r>
        <w:rPr>
          <w:rFonts w:hint="eastAsia" w:ascii="仿宋" w:hAnsi="仿宋" w:eastAsia="仿宋" w:cs="仿宋"/>
          <w:color w:val="000000" w:themeColor="text1"/>
          <w:szCs w:val="21"/>
          <w:u w:val="single"/>
          <w14:textFill>
            <w14:solidFill>
              <w14:schemeClr w14:val="tx1"/>
            </w14:solidFill>
          </w14:textFill>
        </w:rPr>
        <w:t xml:space="preserve">                              </w:t>
      </w:r>
      <w:r>
        <w:rPr>
          <w:rFonts w:hint="eastAsia" w:ascii="仿宋" w:hAnsi="仿宋" w:eastAsia="仿宋" w:cs="仿宋"/>
          <w:color w:val="000000" w:themeColor="text1"/>
          <w:szCs w:val="21"/>
          <w14:textFill>
            <w14:solidFill>
              <w14:schemeClr w14:val="tx1"/>
            </w14:solidFill>
          </w14:textFill>
        </w:rPr>
        <w:t>。</w:t>
      </w:r>
    </w:p>
    <w:p>
      <w:pPr>
        <w:spacing w:before="156" w:after="156" w:line="360" w:lineRule="auto"/>
        <w:ind w:left="425"/>
        <w:rPr>
          <w:rFonts w:ascii="仿宋" w:hAnsi="仿宋" w:eastAsia="仿宋" w:cs="仿宋"/>
          <w:color w:val="000000" w:themeColor="text1"/>
          <w:szCs w:val="21"/>
          <w14:textFill>
            <w14:solidFill>
              <w14:schemeClr w14:val="tx1"/>
            </w14:solidFill>
          </w14:textFill>
        </w:rPr>
      </w:pPr>
    </w:p>
    <w:p>
      <w:pPr>
        <w:numPr>
          <w:ilvl w:val="0"/>
          <w:numId w:val="41"/>
        </w:numPr>
        <w:spacing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产品、服务及价格见投标文件相关部分，币种单位为人民币元。</w:t>
      </w:r>
    </w:p>
    <w:p>
      <w:pPr>
        <w:spacing w:before="156" w:after="156" w:line="360" w:lineRule="auto"/>
        <w:ind w:firstLine="420" w:firstLineChars="2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乙方所提供的所有产品(及介质、文档)必须与其提交的投标文件中所列出的相同。如有变更，必须在本合同中附页说明。</w:t>
      </w:r>
    </w:p>
    <w:p>
      <w:pPr>
        <w:spacing w:before="156" w:after="156" w:line="360" w:lineRule="auto"/>
        <w:ind w:firstLine="420" w:firstLineChars="200"/>
        <w:rPr>
          <w:rFonts w:ascii="仿宋" w:hAnsi="仿宋" w:eastAsia="仿宋" w:cs="仿宋"/>
          <w:color w:val="000000" w:themeColor="text1"/>
          <w:szCs w:val="21"/>
          <w14:textFill>
            <w14:solidFill>
              <w14:schemeClr w14:val="tx1"/>
            </w14:solidFill>
          </w14:textFill>
        </w:rPr>
      </w:pPr>
    </w:p>
    <w:p>
      <w:pPr>
        <w:numPr>
          <w:ilvl w:val="0"/>
          <w:numId w:val="41"/>
        </w:numPr>
        <w:spacing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设备清单</w:t>
      </w:r>
    </w:p>
    <w:p>
      <w:pPr>
        <w:spacing w:line="360" w:lineRule="auto"/>
        <w:rPr>
          <w:rFonts w:ascii="仿宋" w:hAnsi="仿宋" w:eastAsia="仿宋" w:cs="仿宋"/>
          <w:color w:val="000000" w:themeColor="text1"/>
          <w:szCs w:val="21"/>
          <w14:textFill>
            <w14:solidFill>
              <w14:schemeClr w14:val="tx1"/>
            </w14:solidFill>
          </w14:textFill>
        </w:rPr>
      </w:pPr>
    </w:p>
    <w:p>
      <w:pPr>
        <w:numPr>
          <w:ilvl w:val="0"/>
          <w:numId w:val="41"/>
        </w:numPr>
        <w:spacing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设备到货的时间和地点</w:t>
      </w:r>
    </w:p>
    <w:p>
      <w:pPr>
        <w:numPr>
          <w:ilvl w:val="1"/>
          <w:numId w:val="41"/>
        </w:numPr>
        <w:tabs>
          <w:tab w:val="left" w:pos="0"/>
        </w:tabs>
        <w:spacing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设备全部到货时间为</w:t>
      </w:r>
      <w:r>
        <w:rPr>
          <w:rFonts w:hint="eastAsia" w:ascii="仿宋" w:hAnsi="仿宋" w:eastAsia="仿宋" w:cs="仿宋"/>
          <w:color w:val="000000" w:themeColor="text1"/>
          <w:szCs w:val="21"/>
          <w:u w:val="single"/>
          <w14:textFill>
            <w14:solidFill>
              <w14:schemeClr w14:val="tx1"/>
            </w14:solidFill>
          </w14:textFill>
        </w:rPr>
        <w:t xml:space="preserve">      </w:t>
      </w:r>
      <w:r>
        <w:rPr>
          <w:rFonts w:hint="eastAsia" w:ascii="仿宋" w:hAnsi="仿宋" w:eastAsia="仿宋" w:cs="仿宋"/>
          <w:color w:val="000000" w:themeColor="text1"/>
          <w:szCs w:val="21"/>
          <w14:textFill>
            <w14:solidFill>
              <w14:schemeClr w14:val="tx1"/>
            </w14:solidFill>
          </w14:textFill>
        </w:rPr>
        <w:t>年</w:t>
      </w:r>
      <w:r>
        <w:rPr>
          <w:rFonts w:hint="eastAsia" w:ascii="仿宋" w:hAnsi="仿宋" w:eastAsia="仿宋" w:cs="仿宋"/>
          <w:color w:val="000000" w:themeColor="text1"/>
          <w:szCs w:val="21"/>
          <w:u w:val="single"/>
          <w14:textFill>
            <w14:solidFill>
              <w14:schemeClr w14:val="tx1"/>
            </w14:solidFill>
          </w14:textFill>
        </w:rPr>
        <w:t xml:space="preserve">    </w:t>
      </w:r>
      <w:r>
        <w:rPr>
          <w:rFonts w:hint="eastAsia" w:ascii="仿宋" w:hAnsi="仿宋" w:eastAsia="仿宋" w:cs="仿宋"/>
          <w:color w:val="000000" w:themeColor="text1"/>
          <w:szCs w:val="21"/>
          <w14:textFill>
            <w14:solidFill>
              <w14:schemeClr w14:val="tx1"/>
            </w14:solidFill>
          </w14:textFill>
        </w:rPr>
        <w:t>月</w:t>
      </w:r>
      <w:r>
        <w:rPr>
          <w:rFonts w:hint="eastAsia" w:ascii="仿宋" w:hAnsi="仿宋" w:eastAsia="仿宋" w:cs="仿宋"/>
          <w:color w:val="000000" w:themeColor="text1"/>
          <w:szCs w:val="21"/>
          <w:u w:val="single"/>
          <w14:textFill>
            <w14:solidFill>
              <w14:schemeClr w14:val="tx1"/>
            </w14:solidFill>
          </w14:textFill>
        </w:rPr>
        <w:t xml:space="preserve">    </w:t>
      </w:r>
      <w:r>
        <w:rPr>
          <w:rFonts w:hint="eastAsia" w:ascii="仿宋" w:hAnsi="仿宋" w:eastAsia="仿宋" w:cs="仿宋"/>
          <w:color w:val="000000" w:themeColor="text1"/>
          <w:szCs w:val="21"/>
          <w14:textFill>
            <w14:solidFill>
              <w14:schemeClr w14:val="tx1"/>
            </w14:solidFill>
          </w14:textFill>
        </w:rPr>
        <w:t>日。</w:t>
      </w:r>
    </w:p>
    <w:p>
      <w:pPr>
        <w:numPr>
          <w:ilvl w:val="1"/>
          <w:numId w:val="41"/>
        </w:numPr>
        <w:tabs>
          <w:tab w:val="left" w:pos="0"/>
        </w:tabs>
        <w:spacing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交货地点：</w:t>
      </w:r>
      <w:r>
        <w:rPr>
          <w:rFonts w:hint="eastAsia" w:ascii="仿宋" w:hAnsi="仿宋" w:eastAsia="仿宋" w:cs="仿宋"/>
          <w:color w:val="000000" w:themeColor="text1"/>
          <w:szCs w:val="21"/>
          <w:u w:val="single"/>
          <w14:textFill>
            <w14:solidFill>
              <w14:schemeClr w14:val="tx1"/>
            </w14:solidFill>
          </w14:textFill>
        </w:rPr>
        <w:t xml:space="preserve">                                   </w:t>
      </w:r>
    </w:p>
    <w:p>
      <w:pPr>
        <w:spacing w:line="360" w:lineRule="auto"/>
        <w:rPr>
          <w:rFonts w:ascii="仿宋" w:hAnsi="仿宋" w:eastAsia="仿宋" w:cs="仿宋"/>
          <w:color w:val="000000" w:themeColor="text1"/>
          <w:szCs w:val="21"/>
          <w14:textFill>
            <w14:solidFill>
              <w14:schemeClr w14:val="tx1"/>
            </w14:solidFill>
          </w14:textFill>
        </w:rPr>
      </w:pPr>
    </w:p>
    <w:p>
      <w:pPr>
        <w:numPr>
          <w:ilvl w:val="0"/>
          <w:numId w:val="41"/>
        </w:numPr>
        <w:spacing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质量与检验</w:t>
      </w:r>
    </w:p>
    <w:p>
      <w:pPr>
        <w:numPr>
          <w:ilvl w:val="1"/>
          <w:numId w:val="41"/>
        </w:numPr>
        <w:tabs>
          <w:tab w:val="left" w:pos="0"/>
        </w:tabs>
        <w:spacing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供方须提供全新的、完全符合国家的有关质量标准的设备。</w:t>
      </w:r>
    </w:p>
    <w:p>
      <w:pPr>
        <w:numPr>
          <w:ilvl w:val="1"/>
          <w:numId w:val="41"/>
        </w:numPr>
        <w:tabs>
          <w:tab w:val="left" w:pos="0"/>
        </w:tabs>
        <w:spacing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设备的到货验收包括：数量、外观质量、随机备件备品、装箱单、随机资料(中文)及设备包装完整无破损。</w:t>
      </w:r>
    </w:p>
    <w:p>
      <w:pPr>
        <w:numPr>
          <w:ilvl w:val="1"/>
          <w:numId w:val="41"/>
        </w:numPr>
        <w:tabs>
          <w:tab w:val="left" w:pos="0"/>
        </w:tabs>
        <w:spacing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每台设备上均应钉有铭牌（内容包括：制造商、设备名称、型号规格、出厂日期等）并附有产品质量检验合格标志。</w:t>
      </w:r>
    </w:p>
    <w:p>
      <w:pPr>
        <w:numPr>
          <w:ilvl w:val="1"/>
          <w:numId w:val="41"/>
        </w:numPr>
        <w:tabs>
          <w:tab w:val="left" w:pos="0"/>
        </w:tabs>
        <w:spacing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设备制造质量出现问题，供方应负责三包（包修、包换、包退），费用由供方负责。</w:t>
      </w:r>
    </w:p>
    <w:p>
      <w:pPr>
        <w:numPr>
          <w:ilvl w:val="1"/>
          <w:numId w:val="41"/>
        </w:numPr>
        <w:tabs>
          <w:tab w:val="left" w:pos="0"/>
        </w:tabs>
        <w:spacing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货到现场后，由于需方保管不当造成的质量问题，供方亦应负责修理，但费用由需方负担。</w:t>
      </w:r>
    </w:p>
    <w:p>
      <w:pPr>
        <w:spacing w:line="360" w:lineRule="auto"/>
        <w:rPr>
          <w:rFonts w:ascii="仿宋" w:hAnsi="仿宋" w:eastAsia="仿宋" w:cs="仿宋"/>
          <w:color w:val="000000" w:themeColor="text1"/>
          <w:szCs w:val="21"/>
          <w14:textFill>
            <w14:solidFill>
              <w14:schemeClr w14:val="tx1"/>
            </w14:solidFill>
          </w14:textFill>
        </w:rPr>
      </w:pPr>
    </w:p>
    <w:p>
      <w:pPr>
        <w:pStyle w:val="35"/>
        <w:numPr>
          <w:ilvl w:val="2"/>
          <w:numId w:val="40"/>
        </w:numPr>
        <w:spacing w:before="156" w:after="156" w:line="360" w:lineRule="auto"/>
        <w:rPr>
          <w:rFonts w:ascii="仿宋" w:hAnsi="仿宋" w:eastAsia="仿宋" w:cs="仿宋"/>
          <w:color w:val="000000" w:themeColor="text1"/>
          <w:spacing w:val="0"/>
          <w:kern w:val="2"/>
          <w:sz w:val="21"/>
          <w:szCs w:val="21"/>
          <w14:textFill>
            <w14:solidFill>
              <w14:schemeClr w14:val="tx1"/>
            </w14:solidFill>
          </w14:textFill>
        </w:rPr>
      </w:pPr>
      <w:r>
        <w:rPr>
          <w:rFonts w:hint="eastAsia" w:ascii="仿宋" w:hAnsi="仿宋" w:eastAsia="仿宋" w:cs="仿宋"/>
          <w:color w:val="000000" w:themeColor="text1"/>
          <w:spacing w:val="0"/>
          <w:kern w:val="2"/>
          <w:sz w:val="21"/>
          <w:szCs w:val="21"/>
          <w14:textFill>
            <w14:solidFill>
              <w14:schemeClr w14:val="tx1"/>
            </w14:solidFill>
          </w14:textFill>
        </w:rPr>
        <w:t>系统交付及验收</w:t>
      </w:r>
    </w:p>
    <w:p>
      <w:pPr>
        <w:numPr>
          <w:ilvl w:val="0"/>
          <w:numId w:val="15"/>
        </w:numPr>
        <w:tabs>
          <w:tab w:val="left" w:pos="851"/>
          <w:tab w:val="clear" w:pos="1440"/>
        </w:tabs>
        <w:spacing w:line="360" w:lineRule="auto"/>
        <w:ind w:left="851" w:hanging="851"/>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交付时间、地点要求见附表。</w:t>
      </w:r>
    </w:p>
    <w:p>
      <w:pPr>
        <w:numPr>
          <w:ilvl w:val="0"/>
          <w:numId w:val="15"/>
        </w:numPr>
        <w:tabs>
          <w:tab w:val="left" w:pos="851"/>
          <w:tab w:val="clear" w:pos="1440"/>
        </w:tabs>
        <w:spacing w:line="360" w:lineRule="auto"/>
        <w:ind w:left="851" w:hanging="851"/>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乙方应将所供软、硬件产品的用户手册、有关文档资料等交付给甲方。</w:t>
      </w:r>
    </w:p>
    <w:p>
      <w:pPr>
        <w:numPr>
          <w:ilvl w:val="0"/>
          <w:numId w:val="15"/>
        </w:numPr>
        <w:tabs>
          <w:tab w:val="left" w:pos="851"/>
          <w:tab w:val="clear" w:pos="1440"/>
        </w:tabs>
        <w:spacing w:line="360" w:lineRule="auto"/>
        <w:ind w:left="851" w:hanging="851"/>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系统完成后，由甲方组织验收，乙方必须提供验收的技术标准及参数。</w:t>
      </w:r>
    </w:p>
    <w:p>
      <w:pPr>
        <w:spacing w:before="156" w:after="156" w:line="360" w:lineRule="auto"/>
        <w:rPr>
          <w:rFonts w:ascii="仿宋" w:hAnsi="仿宋" w:eastAsia="仿宋" w:cs="仿宋"/>
          <w:color w:val="000000" w:themeColor="text1"/>
          <w:szCs w:val="21"/>
          <w14:textFill>
            <w14:solidFill>
              <w14:schemeClr w14:val="tx1"/>
            </w14:solidFill>
          </w14:textFill>
        </w:rPr>
      </w:pPr>
    </w:p>
    <w:p>
      <w:pPr>
        <w:pStyle w:val="35"/>
        <w:numPr>
          <w:ilvl w:val="2"/>
          <w:numId w:val="40"/>
        </w:numPr>
        <w:spacing w:before="156" w:after="156" w:line="360" w:lineRule="auto"/>
        <w:rPr>
          <w:rFonts w:ascii="仿宋" w:hAnsi="仿宋" w:eastAsia="仿宋" w:cs="仿宋"/>
          <w:color w:val="000000" w:themeColor="text1"/>
          <w:spacing w:val="0"/>
          <w:kern w:val="2"/>
          <w:sz w:val="21"/>
          <w:szCs w:val="21"/>
          <w14:textFill>
            <w14:solidFill>
              <w14:schemeClr w14:val="tx1"/>
            </w14:solidFill>
          </w14:textFill>
        </w:rPr>
      </w:pPr>
      <w:r>
        <w:rPr>
          <w:rFonts w:hint="eastAsia" w:ascii="仿宋" w:hAnsi="仿宋" w:eastAsia="仿宋" w:cs="仿宋"/>
          <w:color w:val="000000" w:themeColor="text1"/>
          <w:spacing w:val="0"/>
          <w:kern w:val="2"/>
          <w:sz w:val="21"/>
          <w:szCs w:val="21"/>
          <w14:textFill>
            <w14:solidFill>
              <w14:schemeClr w14:val="tx1"/>
            </w14:solidFill>
          </w14:textFill>
        </w:rPr>
        <w:t>技术培训及售后服务</w:t>
      </w:r>
    </w:p>
    <w:p>
      <w:pPr>
        <w:numPr>
          <w:ilvl w:val="0"/>
          <w:numId w:val="42"/>
        </w:numPr>
        <w:spacing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技术培训内容及时间安排：</w:t>
      </w:r>
    </w:p>
    <w:p>
      <w:pPr>
        <w:numPr>
          <w:ilvl w:val="0"/>
          <w:numId w:val="42"/>
        </w:numPr>
        <w:spacing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如果培训地点不在当地，差旅食宿费用由乙方负责。</w:t>
      </w:r>
    </w:p>
    <w:p>
      <w:pPr>
        <w:numPr>
          <w:ilvl w:val="0"/>
          <w:numId w:val="42"/>
        </w:numPr>
        <w:spacing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甲方有根据工作安排适当调整培训时间的权利。</w:t>
      </w:r>
    </w:p>
    <w:p>
      <w:pPr>
        <w:spacing w:before="156" w:after="156" w:line="360" w:lineRule="auto"/>
        <w:rPr>
          <w:rFonts w:ascii="仿宋" w:hAnsi="仿宋" w:eastAsia="仿宋" w:cs="仿宋"/>
          <w:color w:val="000000" w:themeColor="text1"/>
          <w:szCs w:val="21"/>
          <w14:textFill>
            <w14:solidFill>
              <w14:schemeClr w14:val="tx1"/>
            </w14:solidFill>
          </w14:textFill>
        </w:rPr>
      </w:pPr>
    </w:p>
    <w:p>
      <w:pPr>
        <w:pStyle w:val="35"/>
        <w:numPr>
          <w:ilvl w:val="2"/>
          <w:numId w:val="40"/>
        </w:numPr>
        <w:spacing w:before="156" w:after="156" w:line="360" w:lineRule="auto"/>
        <w:rPr>
          <w:rFonts w:ascii="仿宋" w:hAnsi="仿宋" w:eastAsia="仿宋" w:cs="仿宋"/>
          <w:color w:val="000000" w:themeColor="text1"/>
          <w:spacing w:val="0"/>
          <w:kern w:val="2"/>
          <w:sz w:val="21"/>
          <w:szCs w:val="21"/>
          <w14:textFill>
            <w14:solidFill>
              <w14:schemeClr w14:val="tx1"/>
            </w14:solidFill>
          </w14:textFill>
        </w:rPr>
      </w:pPr>
      <w:r>
        <w:rPr>
          <w:rFonts w:hint="eastAsia" w:ascii="仿宋" w:hAnsi="仿宋" w:eastAsia="仿宋" w:cs="仿宋"/>
          <w:color w:val="000000" w:themeColor="text1"/>
          <w:spacing w:val="0"/>
          <w:kern w:val="2"/>
          <w:sz w:val="21"/>
          <w:szCs w:val="21"/>
          <w14:textFill>
            <w14:solidFill>
              <w14:schemeClr w14:val="tx1"/>
            </w14:solidFill>
          </w14:textFill>
        </w:rPr>
        <w:t>履约保证金：</w:t>
      </w:r>
    </w:p>
    <w:p>
      <w:pPr>
        <w:spacing w:before="156" w:after="156" w:line="360" w:lineRule="auto"/>
        <w:ind w:firstLine="420" w:firstLineChars="2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乙方在签订合同协议书五天内，须提交合同金额的</w:t>
      </w:r>
      <w:r>
        <w:rPr>
          <w:rFonts w:hint="eastAsia" w:ascii="仿宋" w:hAnsi="仿宋" w:eastAsia="仿宋" w:cs="仿宋"/>
          <w:color w:val="000000" w:themeColor="text1"/>
          <w:szCs w:val="21"/>
          <w:u w:val="single"/>
          <w14:textFill>
            <w14:solidFill>
              <w14:schemeClr w14:val="tx1"/>
            </w14:solidFill>
          </w14:textFill>
        </w:rPr>
        <w:t xml:space="preserve">     </w:t>
      </w:r>
      <w:r>
        <w:rPr>
          <w:rFonts w:hint="eastAsia" w:ascii="仿宋" w:hAnsi="仿宋" w:eastAsia="仿宋" w:cs="仿宋"/>
          <w:color w:val="000000" w:themeColor="text1"/>
          <w:szCs w:val="21"/>
          <w14:textFill>
            <w14:solidFill>
              <w14:schemeClr w14:val="tx1"/>
            </w14:solidFill>
          </w14:textFill>
        </w:rPr>
        <w:t xml:space="preserve"> 的履约保证金。履约保证金汇入甲方指定银行账号。</w:t>
      </w:r>
    </w:p>
    <w:p>
      <w:pPr>
        <w:spacing w:before="156" w:after="156" w:line="360" w:lineRule="auto"/>
        <w:ind w:firstLine="420" w:firstLineChars="200"/>
        <w:rPr>
          <w:rFonts w:ascii="仿宋" w:hAnsi="仿宋" w:eastAsia="仿宋" w:cs="仿宋"/>
          <w:color w:val="000000" w:themeColor="text1"/>
          <w:szCs w:val="21"/>
          <w14:textFill>
            <w14:solidFill>
              <w14:schemeClr w14:val="tx1"/>
            </w14:solidFill>
          </w14:textFill>
        </w:rPr>
      </w:pPr>
    </w:p>
    <w:p>
      <w:pPr>
        <w:pStyle w:val="35"/>
        <w:numPr>
          <w:ilvl w:val="2"/>
          <w:numId w:val="40"/>
        </w:numPr>
        <w:spacing w:before="156" w:after="156" w:line="360" w:lineRule="auto"/>
        <w:rPr>
          <w:rFonts w:ascii="仿宋" w:hAnsi="仿宋" w:eastAsia="仿宋" w:cs="仿宋"/>
          <w:color w:val="000000" w:themeColor="text1"/>
          <w:spacing w:val="0"/>
          <w:kern w:val="2"/>
          <w:sz w:val="21"/>
          <w:szCs w:val="21"/>
          <w14:textFill>
            <w14:solidFill>
              <w14:schemeClr w14:val="tx1"/>
            </w14:solidFill>
          </w14:textFill>
        </w:rPr>
      </w:pPr>
      <w:r>
        <w:rPr>
          <w:rFonts w:hint="eastAsia" w:ascii="仿宋" w:hAnsi="仿宋" w:eastAsia="仿宋" w:cs="仿宋"/>
          <w:color w:val="000000" w:themeColor="text1"/>
          <w:spacing w:val="0"/>
          <w:kern w:val="2"/>
          <w:sz w:val="21"/>
          <w:szCs w:val="21"/>
          <w14:textFill>
            <w14:solidFill>
              <w14:schemeClr w14:val="tx1"/>
            </w14:solidFill>
          </w14:textFill>
        </w:rPr>
        <w:t>付款方式</w:t>
      </w:r>
    </w:p>
    <w:p>
      <w:pPr>
        <w:spacing w:before="156" w:after="156" w:line="360" w:lineRule="auto"/>
        <w:rPr>
          <w:rFonts w:ascii="仿宋" w:hAnsi="仿宋" w:eastAsia="仿宋" w:cs="仿宋"/>
          <w:color w:val="000000" w:themeColor="text1"/>
          <w:szCs w:val="21"/>
          <w:u w:val="single"/>
          <w14:textFill>
            <w14:solidFill>
              <w14:schemeClr w14:val="tx1"/>
            </w14:solidFill>
          </w14:textFill>
        </w:rPr>
      </w:pPr>
      <w:r>
        <w:rPr>
          <w:rFonts w:hint="eastAsia" w:ascii="仿宋" w:hAnsi="仿宋" w:eastAsia="仿宋" w:cs="仿宋"/>
          <w:color w:val="000000" w:themeColor="text1"/>
          <w:szCs w:val="21"/>
          <w:u w:val="single"/>
          <w14:textFill>
            <w14:solidFill>
              <w14:schemeClr w14:val="tx1"/>
            </w14:solidFill>
          </w14:textFill>
        </w:rPr>
        <w:t xml:space="preserve">                                                      </w:t>
      </w:r>
    </w:p>
    <w:p>
      <w:pPr>
        <w:pStyle w:val="35"/>
        <w:numPr>
          <w:ilvl w:val="2"/>
          <w:numId w:val="40"/>
        </w:numPr>
        <w:spacing w:before="156" w:after="156" w:line="360" w:lineRule="auto"/>
        <w:rPr>
          <w:rFonts w:ascii="仿宋" w:hAnsi="仿宋" w:eastAsia="仿宋" w:cs="仿宋"/>
          <w:color w:val="000000" w:themeColor="text1"/>
          <w:spacing w:val="0"/>
          <w:kern w:val="2"/>
          <w:sz w:val="21"/>
          <w:szCs w:val="21"/>
          <w14:textFill>
            <w14:solidFill>
              <w14:schemeClr w14:val="tx1"/>
            </w14:solidFill>
          </w14:textFill>
        </w:rPr>
      </w:pPr>
      <w:r>
        <w:rPr>
          <w:rFonts w:hint="eastAsia" w:ascii="仿宋" w:hAnsi="仿宋" w:eastAsia="仿宋" w:cs="仿宋"/>
          <w:color w:val="000000" w:themeColor="text1"/>
          <w:spacing w:val="0"/>
          <w:kern w:val="2"/>
          <w:sz w:val="21"/>
          <w:szCs w:val="21"/>
          <w14:textFill>
            <w14:solidFill>
              <w14:schemeClr w14:val="tx1"/>
            </w14:solidFill>
          </w14:textFill>
        </w:rPr>
        <w:t>违约责任</w:t>
      </w:r>
    </w:p>
    <w:p>
      <w:pPr>
        <w:numPr>
          <w:ilvl w:val="0"/>
          <w:numId w:val="43"/>
        </w:numPr>
        <w:tabs>
          <w:tab w:val="left" w:pos="851"/>
          <w:tab w:val="clear" w:pos="1440"/>
        </w:tabs>
        <w:spacing w:line="360" w:lineRule="auto"/>
        <w:ind w:left="851" w:hanging="851"/>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甲方无正当理由拒收合同中的产品，甲方向乙方偿付产品总值的百分之十违约金。</w:t>
      </w:r>
    </w:p>
    <w:p>
      <w:pPr>
        <w:numPr>
          <w:ilvl w:val="0"/>
          <w:numId w:val="43"/>
        </w:numPr>
        <w:tabs>
          <w:tab w:val="left" w:pos="851"/>
          <w:tab w:val="clear" w:pos="1440"/>
        </w:tabs>
        <w:spacing w:line="360" w:lineRule="auto"/>
        <w:ind w:left="851" w:hanging="851"/>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乙方所交的产品，质量不符合同规定标准的，甲方有权拒绝收货。乙方向甲方偿付该项目总值百分之十的违约金。</w:t>
      </w:r>
    </w:p>
    <w:p>
      <w:pPr>
        <w:numPr>
          <w:ilvl w:val="0"/>
          <w:numId w:val="43"/>
        </w:numPr>
        <w:tabs>
          <w:tab w:val="left" w:pos="851"/>
          <w:tab w:val="clear" w:pos="1440"/>
        </w:tabs>
        <w:spacing w:line="360" w:lineRule="auto"/>
        <w:ind w:left="851" w:hanging="851"/>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乙方不能交付产品的，乙方向甲方支付项目总值百分之七点五的违约金。</w:t>
      </w:r>
    </w:p>
    <w:p>
      <w:pPr>
        <w:numPr>
          <w:ilvl w:val="0"/>
          <w:numId w:val="43"/>
        </w:numPr>
        <w:tabs>
          <w:tab w:val="left" w:pos="851"/>
          <w:tab w:val="clear" w:pos="1440"/>
        </w:tabs>
        <w:spacing w:line="360" w:lineRule="auto"/>
        <w:ind w:left="851" w:hanging="851"/>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乙方逾期交付产品的，乙方向甲方每日偿付项目总值千分之三的违约金，违约金不超过项目总额的30%。逾期交付超过十五天，甲方有权终止合同。</w:t>
      </w:r>
    </w:p>
    <w:p>
      <w:pPr>
        <w:spacing w:before="156" w:after="156" w:line="360" w:lineRule="auto"/>
        <w:rPr>
          <w:rFonts w:ascii="仿宋" w:hAnsi="仿宋" w:eastAsia="仿宋" w:cs="仿宋"/>
          <w:color w:val="000000" w:themeColor="text1"/>
          <w:szCs w:val="21"/>
          <w14:textFill>
            <w14:solidFill>
              <w14:schemeClr w14:val="tx1"/>
            </w14:solidFill>
          </w14:textFill>
        </w:rPr>
      </w:pPr>
    </w:p>
    <w:p>
      <w:pPr>
        <w:pStyle w:val="35"/>
        <w:numPr>
          <w:ilvl w:val="2"/>
          <w:numId w:val="40"/>
        </w:numPr>
        <w:spacing w:before="156" w:after="156" w:line="360" w:lineRule="auto"/>
        <w:rPr>
          <w:rFonts w:ascii="仿宋" w:hAnsi="仿宋" w:eastAsia="仿宋" w:cs="仿宋"/>
          <w:color w:val="000000" w:themeColor="text1"/>
          <w:spacing w:val="0"/>
          <w:kern w:val="2"/>
          <w:sz w:val="21"/>
          <w:szCs w:val="21"/>
          <w14:textFill>
            <w14:solidFill>
              <w14:schemeClr w14:val="tx1"/>
            </w14:solidFill>
          </w14:textFill>
        </w:rPr>
      </w:pPr>
      <w:r>
        <w:rPr>
          <w:rFonts w:hint="eastAsia" w:ascii="仿宋" w:hAnsi="仿宋" w:eastAsia="仿宋" w:cs="仿宋"/>
          <w:color w:val="000000" w:themeColor="text1"/>
          <w:spacing w:val="0"/>
          <w:kern w:val="2"/>
          <w:sz w:val="21"/>
          <w:szCs w:val="21"/>
          <w14:textFill>
            <w14:solidFill>
              <w14:schemeClr w14:val="tx1"/>
            </w14:solidFill>
          </w14:textFill>
        </w:rPr>
        <w:t>争议</w:t>
      </w:r>
    </w:p>
    <w:p>
      <w:pPr>
        <w:spacing w:before="156" w:after="156"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因项目质量问题发生争议，由用户指定的省级技术质量单位进行质量鉴定，该鉴定结论是终局的，甲乙双方应当接受。</w:t>
      </w:r>
    </w:p>
    <w:p>
      <w:pPr>
        <w:spacing w:before="156" w:after="156" w:line="360" w:lineRule="auto"/>
        <w:rPr>
          <w:rFonts w:ascii="仿宋" w:hAnsi="仿宋" w:eastAsia="仿宋" w:cs="仿宋"/>
          <w:color w:val="000000" w:themeColor="text1"/>
          <w:szCs w:val="21"/>
          <w14:textFill>
            <w14:solidFill>
              <w14:schemeClr w14:val="tx1"/>
            </w14:solidFill>
          </w14:textFill>
        </w:rPr>
      </w:pPr>
    </w:p>
    <w:p>
      <w:pPr>
        <w:pStyle w:val="35"/>
        <w:numPr>
          <w:ilvl w:val="2"/>
          <w:numId w:val="40"/>
        </w:numPr>
        <w:spacing w:before="156" w:after="156" w:line="360" w:lineRule="auto"/>
        <w:rPr>
          <w:rFonts w:ascii="仿宋" w:hAnsi="仿宋" w:eastAsia="仿宋" w:cs="仿宋"/>
          <w:color w:val="000000" w:themeColor="text1"/>
          <w:spacing w:val="0"/>
          <w:kern w:val="2"/>
          <w:sz w:val="21"/>
          <w:szCs w:val="21"/>
          <w14:textFill>
            <w14:solidFill>
              <w14:schemeClr w14:val="tx1"/>
            </w14:solidFill>
          </w14:textFill>
        </w:rPr>
      </w:pPr>
      <w:r>
        <w:rPr>
          <w:rFonts w:hint="eastAsia" w:ascii="仿宋" w:hAnsi="仿宋" w:eastAsia="仿宋" w:cs="仿宋"/>
          <w:color w:val="000000" w:themeColor="text1"/>
          <w:spacing w:val="0"/>
          <w:kern w:val="2"/>
          <w:sz w:val="21"/>
          <w:szCs w:val="21"/>
          <w14:textFill>
            <w14:solidFill>
              <w14:schemeClr w14:val="tx1"/>
            </w14:solidFill>
          </w14:textFill>
        </w:rPr>
        <w:t>诉讼</w:t>
      </w:r>
    </w:p>
    <w:p>
      <w:pPr>
        <w:spacing w:before="156" w:after="156"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本合同发生争议产生的诉讼，由合同签订所在地人民法院管辖。</w:t>
      </w:r>
    </w:p>
    <w:p>
      <w:pPr>
        <w:spacing w:before="156" w:after="156" w:line="360" w:lineRule="auto"/>
        <w:rPr>
          <w:rFonts w:ascii="仿宋" w:hAnsi="仿宋" w:eastAsia="仿宋" w:cs="仿宋"/>
          <w:color w:val="000000" w:themeColor="text1"/>
          <w:szCs w:val="21"/>
          <w14:textFill>
            <w14:solidFill>
              <w14:schemeClr w14:val="tx1"/>
            </w14:solidFill>
          </w14:textFill>
        </w:rPr>
      </w:pPr>
    </w:p>
    <w:p>
      <w:pPr>
        <w:pStyle w:val="35"/>
        <w:numPr>
          <w:ilvl w:val="2"/>
          <w:numId w:val="40"/>
        </w:numPr>
        <w:spacing w:before="156" w:after="156" w:line="360" w:lineRule="auto"/>
        <w:rPr>
          <w:rFonts w:ascii="仿宋" w:hAnsi="仿宋" w:eastAsia="仿宋" w:cs="仿宋"/>
          <w:color w:val="000000" w:themeColor="text1"/>
          <w:spacing w:val="0"/>
          <w:kern w:val="2"/>
          <w:sz w:val="21"/>
          <w:szCs w:val="21"/>
          <w14:textFill>
            <w14:solidFill>
              <w14:schemeClr w14:val="tx1"/>
            </w14:solidFill>
          </w14:textFill>
        </w:rPr>
      </w:pPr>
      <w:r>
        <w:rPr>
          <w:rFonts w:hint="eastAsia" w:ascii="仿宋" w:hAnsi="仿宋" w:eastAsia="仿宋" w:cs="仿宋"/>
          <w:color w:val="000000" w:themeColor="text1"/>
          <w:spacing w:val="0"/>
          <w:kern w:val="2"/>
          <w:sz w:val="21"/>
          <w:szCs w:val="21"/>
          <w14:textFill>
            <w14:solidFill>
              <w14:schemeClr w14:val="tx1"/>
            </w14:solidFill>
          </w14:textFill>
        </w:rPr>
        <w:t>合同数量</w:t>
      </w:r>
    </w:p>
    <w:p>
      <w:pPr>
        <w:spacing w:before="156" w:after="156"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本合同壹式叁份，甲乙双方各执壹份，采购代理机构壹份，均具同等效力。</w:t>
      </w:r>
    </w:p>
    <w:p>
      <w:pPr>
        <w:spacing w:before="156" w:after="156" w:line="360" w:lineRule="auto"/>
        <w:rPr>
          <w:rFonts w:ascii="仿宋" w:hAnsi="仿宋" w:eastAsia="仿宋" w:cs="仿宋"/>
          <w:color w:val="000000" w:themeColor="text1"/>
          <w:szCs w:val="21"/>
          <w14:textFill>
            <w14:solidFill>
              <w14:schemeClr w14:val="tx1"/>
            </w14:solidFill>
          </w14:textFill>
        </w:rPr>
      </w:pPr>
    </w:p>
    <w:p>
      <w:pPr>
        <w:pStyle w:val="35"/>
        <w:numPr>
          <w:ilvl w:val="2"/>
          <w:numId w:val="40"/>
        </w:numPr>
        <w:spacing w:before="156" w:after="156" w:line="360" w:lineRule="auto"/>
        <w:rPr>
          <w:rFonts w:ascii="仿宋" w:hAnsi="仿宋" w:eastAsia="仿宋" w:cs="仿宋"/>
          <w:color w:val="000000" w:themeColor="text1"/>
          <w:spacing w:val="0"/>
          <w:kern w:val="2"/>
          <w:sz w:val="21"/>
          <w:szCs w:val="21"/>
          <w14:textFill>
            <w14:solidFill>
              <w14:schemeClr w14:val="tx1"/>
            </w14:solidFill>
          </w14:textFill>
        </w:rPr>
      </w:pPr>
      <w:r>
        <w:rPr>
          <w:rFonts w:hint="eastAsia" w:ascii="仿宋" w:hAnsi="仿宋" w:eastAsia="仿宋" w:cs="仿宋"/>
          <w:color w:val="000000" w:themeColor="text1"/>
          <w:spacing w:val="0"/>
          <w:kern w:val="2"/>
          <w:sz w:val="21"/>
          <w:szCs w:val="21"/>
          <w14:textFill>
            <w14:solidFill>
              <w14:schemeClr w14:val="tx1"/>
            </w14:solidFill>
          </w14:textFill>
        </w:rPr>
        <w:t>其他约定条款。</w:t>
      </w:r>
    </w:p>
    <w:p>
      <w:pPr>
        <w:pStyle w:val="35"/>
        <w:spacing w:before="156" w:after="156" w:line="360" w:lineRule="auto"/>
        <w:rPr>
          <w:rFonts w:ascii="仿宋" w:hAnsi="仿宋" w:eastAsia="仿宋" w:cs="仿宋"/>
          <w:color w:val="000000" w:themeColor="text1"/>
          <w:sz w:val="21"/>
          <w:szCs w:val="21"/>
          <w14:textFill>
            <w14:solidFill>
              <w14:schemeClr w14:val="tx1"/>
            </w14:solidFill>
          </w14:textFill>
        </w:rPr>
      </w:pPr>
    </w:p>
    <w:p>
      <w:pPr>
        <w:pStyle w:val="35"/>
        <w:spacing w:before="156" w:after="156" w:line="360" w:lineRule="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合同签订地点：东莞</w:t>
      </w:r>
    </w:p>
    <w:p>
      <w:pPr>
        <w:pStyle w:val="35"/>
        <w:spacing w:before="156" w:after="156" w:line="360" w:lineRule="auto"/>
        <w:rPr>
          <w:rFonts w:ascii="仿宋" w:hAnsi="仿宋" w:eastAsia="仿宋" w:cs="仿宋"/>
          <w:color w:val="000000" w:themeColor="text1"/>
          <w:spacing w:val="0"/>
          <w:kern w:val="2"/>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合同签订时间：2019年*月*日</w:t>
      </w:r>
    </w:p>
    <w:p>
      <w:pPr>
        <w:spacing w:before="156" w:after="156" w:line="360" w:lineRule="auto"/>
        <w:rPr>
          <w:rFonts w:ascii="仿宋" w:hAnsi="仿宋" w:eastAsia="仿宋" w:cs="仿宋"/>
          <w:color w:val="000000" w:themeColor="text1"/>
          <w:szCs w:val="21"/>
          <w14:textFill>
            <w14:solidFill>
              <w14:schemeClr w14:val="tx1"/>
            </w14:solidFill>
          </w14:textFill>
        </w:rPr>
      </w:pPr>
    </w:p>
    <w:p>
      <w:pPr>
        <w:spacing w:before="156" w:after="156"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 xml:space="preserve">甲方：                    </w:t>
      </w:r>
      <w:r>
        <w:rPr>
          <w:rFonts w:hint="eastAsia" w:ascii="仿宋" w:hAnsi="仿宋" w:eastAsia="仿宋" w:cs="仿宋"/>
          <w:color w:val="000000" w:themeColor="text1"/>
          <w:szCs w:val="21"/>
          <w14:textFill>
            <w14:solidFill>
              <w14:schemeClr w14:val="tx1"/>
            </w14:solidFill>
          </w14:textFill>
        </w:rPr>
        <w:tab/>
      </w:r>
      <w:r>
        <w:rPr>
          <w:rFonts w:hint="eastAsia" w:ascii="仿宋" w:hAnsi="仿宋" w:eastAsia="仿宋" w:cs="仿宋"/>
          <w:color w:val="000000" w:themeColor="text1"/>
          <w:szCs w:val="21"/>
          <w14:textFill>
            <w14:solidFill>
              <w14:schemeClr w14:val="tx1"/>
            </w14:solidFill>
          </w14:textFill>
        </w:rPr>
        <w:tab/>
      </w:r>
      <w:r>
        <w:rPr>
          <w:rFonts w:hint="eastAsia" w:ascii="仿宋" w:hAnsi="仿宋" w:eastAsia="仿宋" w:cs="仿宋"/>
          <w:color w:val="000000" w:themeColor="text1"/>
          <w:szCs w:val="21"/>
          <w14:textFill>
            <w14:solidFill>
              <w14:schemeClr w14:val="tx1"/>
            </w14:solidFill>
          </w14:textFill>
        </w:rPr>
        <w:t xml:space="preserve">    乙方：</w:t>
      </w:r>
    </w:p>
    <w:p>
      <w:pPr>
        <w:spacing w:before="156" w:after="156"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 xml:space="preserve">地址：                         </w:t>
      </w:r>
      <w:r>
        <w:rPr>
          <w:rFonts w:hint="eastAsia" w:ascii="仿宋" w:hAnsi="仿宋" w:eastAsia="仿宋" w:cs="仿宋"/>
          <w:color w:val="000000" w:themeColor="text1"/>
          <w:szCs w:val="21"/>
          <w14:textFill>
            <w14:solidFill>
              <w14:schemeClr w14:val="tx1"/>
            </w14:solidFill>
          </w14:textFill>
        </w:rPr>
        <w:tab/>
      </w:r>
      <w:r>
        <w:rPr>
          <w:rFonts w:hint="eastAsia" w:ascii="仿宋" w:hAnsi="仿宋" w:eastAsia="仿宋" w:cs="仿宋"/>
          <w:color w:val="000000" w:themeColor="text1"/>
          <w:szCs w:val="21"/>
          <w14:textFill>
            <w14:solidFill>
              <w14:schemeClr w14:val="tx1"/>
            </w14:solidFill>
          </w14:textFill>
        </w:rPr>
        <w:tab/>
      </w:r>
      <w:r>
        <w:rPr>
          <w:rFonts w:hint="eastAsia" w:ascii="仿宋" w:hAnsi="仿宋" w:eastAsia="仿宋" w:cs="仿宋"/>
          <w:color w:val="000000" w:themeColor="text1"/>
          <w:szCs w:val="21"/>
          <w14:textFill>
            <w14:solidFill>
              <w14:schemeClr w14:val="tx1"/>
            </w14:solidFill>
          </w14:textFill>
        </w:rPr>
        <w:t>地址：</w:t>
      </w:r>
    </w:p>
    <w:p>
      <w:pPr>
        <w:spacing w:before="156" w:after="156"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 xml:space="preserve">委托代理人：                   </w:t>
      </w:r>
      <w:r>
        <w:rPr>
          <w:rFonts w:hint="eastAsia" w:ascii="仿宋" w:hAnsi="仿宋" w:eastAsia="仿宋" w:cs="仿宋"/>
          <w:color w:val="000000" w:themeColor="text1"/>
          <w:szCs w:val="21"/>
          <w14:textFill>
            <w14:solidFill>
              <w14:schemeClr w14:val="tx1"/>
            </w14:solidFill>
          </w14:textFill>
        </w:rPr>
        <w:tab/>
      </w:r>
      <w:r>
        <w:rPr>
          <w:rFonts w:hint="eastAsia" w:ascii="仿宋" w:hAnsi="仿宋" w:eastAsia="仿宋" w:cs="仿宋"/>
          <w:color w:val="000000" w:themeColor="text1"/>
          <w:szCs w:val="21"/>
          <w14:textFill>
            <w14:solidFill>
              <w14:schemeClr w14:val="tx1"/>
            </w14:solidFill>
          </w14:textFill>
        </w:rPr>
        <w:tab/>
      </w:r>
      <w:r>
        <w:rPr>
          <w:rFonts w:hint="eastAsia" w:ascii="仿宋" w:hAnsi="仿宋" w:eastAsia="仿宋" w:cs="仿宋"/>
          <w:color w:val="000000" w:themeColor="text1"/>
          <w:szCs w:val="21"/>
          <w14:textFill>
            <w14:solidFill>
              <w14:schemeClr w14:val="tx1"/>
            </w14:solidFill>
          </w14:textFill>
        </w:rPr>
        <w:t>委托代理人：</w:t>
      </w:r>
    </w:p>
    <w:p>
      <w:pPr>
        <w:pStyle w:val="11"/>
        <w:rPr>
          <w:rFonts w:ascii="仿宋" w:hAnsi="仿宋" w:eastAsia="仿宋" w:cs="仿宋"/>
          <w:b/>
          <w:bCs/>
          <w:color w:val="000000" w:themeColor="text1"/>
          <w:sz w:val="21"/>
          <w14:textFill>
            <w14:solidFill>
              <w14:schemeClr w14:val="tx1"/>
            </w14:solidFill>
          </w14:textFill>
        </w:rPr>
      </w:pPr>
      <w:r>
        <w:rPr>
          <w:rFonts w:hint="eastAsia" w:ascii="仿宋" w:hAnsi="仿宋" w:eastAsia="仿宋" w:cs="仿宋"/>
          <w:b/>
          <w:bCs/>
          <w:color w:val="000000" w:themeColor="text1"/>
          <w:sz w:val="21"/>
          <w14:textFill>
            <w14:solidFill>
              <w14:schemeClr w14:val="tx1"/>
            </w14:solidFill>
          </w14:textFill>
        </w:rPr>
        <w:t>此仅为合同书样本，中标人需根据实际情况和业主签订相应的合同！</w:t>
      </w:r>
    </w:p>
    <w:p>
      <w:pPr>
        <w:pStyle w:val="3"/>
        <w:keepNext w:val="0"/>
        <w:keepLines w:val="0"/>
        <w:pageBreakBefore/>
        <w:spacing w:line="360" w:lineRule="auto"/>
        <w:jc w:val="center"/>
        <w:rPr>
          <w:rFonts w:ascii="宋体" w:hAnsi="宋体" w:eastAsia="宋体" w:cs="宋体"/>
          <w:color w:val="000000" w:themeColor="text1"/>
          <w:spacing w:val="20"/>
          <w:sz w:val="32"/>
          <w:szCs w:val="32"/>
          <w14:textFill>
            <w14:solidFill>
              <w14:schemeClr w14:val="tx1"/>
            </w14:solidFill>
          </w14:textFill>
        </w:rPr>
      </w:pPr>
      <w:bookmarkStart w:id="117" w:name="_Toc1445"/>
      <w:r>
        <w:rPr>
          <w:rFonts w:hint="eastAsia" w:ascii="宋体" w:hAnsi="宋体" w:eastAsia="宋体" w:cs="宋体"/>
          <w:color w:val="000000" w:themeColor="text1"/>
          <w:spacing w:val="20"/>
          <w:sz w:val="32"/>
          <w:szCs w:val="32"/>
          <w14:textFill>
            <w14:solidFill>
              <w14:schemeClr w14:val="tx1"/>
            </w14:solidFill>
          </w14:textFill>
        </w:rPr>
        <w:t>第六部分 投标文件格式</w:t>
      </w:r>
      <w:bookmarkEnd w:id="115"/>
      <w:bookmarkEnd w:id="116"/>
      <w:bookmarkEnd w:id="117"/>
    </w:p>
    <w:p>
      <w:pPr>
        <w:pStyle w:val="4"/>
        <w:numPr>
          <w:ilvl w:val="0"/>
          <w:numId w:val="44"/>
        </w:numPr>
        <w:rPr>
          <w:color w:val="000000" w:themeColor="text1"/>
          <w:sz w:val="24"/>
          <w:szCs w:val="24"/>
          <w14:textFill>
            <w14:solidFill>
              <w14:schemeClr w14:val="tx1"/>
            </w14:solidFill>
          </w14:textFill>
        </w:rPr>
      </w:pPr>
      <w:bookmarkStart w:id="118" w:name="_Toc31301"/>
      <w:r>
        <w:rPr>
          <w:rFonts w:hint="eastAsia"/>
          <w:color w:val="000000" w:themeColor="text1"/>
          <w:sz w:val="24"/>
          <w:szCs w:val="24"/>
          <w14:textFill>
            <w14:solidFill>
              <w14:schemeClr w14:val="tx1"/>
            </w14:solidFill>
          </w14:textFill>
        </w:rPr>
        <w:t>价格文件格式（独立成册）</w:t>
      </w:r>
      <w:bookmarkEnd w:id="118"/>
    </w:p>
    <w:p>
      <w:pPr>
        <w:spacing w:line="360" w:lineRule="auto"/>
        <w:jc w:val="right"/>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正本/副本</w:t>
      </w:r>
    </w:p>
    <w:p>
      <w:pPr>
        <w:spacing w:line="360" w:lineRule="auto"/>
        <w:jc w:val="right"/>
        <w:rPr>
          <w:rFonts w:ascii="宋体" w:hAnsi="宋体" w:eastAsia="宋体" w:cs="宋体"/>
          <w:b/>
          <w:color w:val="000000" w:themeColor="text1"/>
          <w:szCs w:val="21"/>
          <w14:textFill>
            <w14:solidFill>
              <w14:schemeClr w14:val="tx1"/>
            </w14:solidFill>
          </w14:textFill>
        </w:rPr>
      </w:pPr>
    </w:p>
    <w:p>
      <w:pPr>
        <w:spacing w:line="360" w:lineRule="auto"/>
        <w:jc w:val="center"/>
        <w:rPr>
          <w:rFonts w:hint="eastAsia" w:ascii="宋体" w:hAnsi="宋体" w:eastAsia="宋体" w:cs="宋体"/>
          <w:bCs/>
          <w:color w:val="000000" w:themeColor="text1"/>
          <w:sz w:val="56"/>
          <w:szCs w:val="56"/>
          <w:lang w:eastAsia="zh-CN"/>
          <w14:textFill>
            <w14:solidFill>
              <w14:schemeClr w14:val="tx1"/>
            </w14:solidFill>
          </w14:textFill>
        </w:rPr>
      </w:pPr>
      <w:r>
        <w:rPr>
          <w:rFonts w:hint="eastAsia" w:ascii="宋体" w:hAnsi="宋体" w:eastAsia="宋体" w:cs="宋体"/>
          <w:bCs/>
          <w:color w:val="000000" w:themeColor="text1"/>
          <w:sz w:val="56"/>
          <w:szCs w:val="56"/>
          <w:lang w:eastAsia="zh-CN"/>
          <w14:textFill>
            <w14:solidFill>
              <w14:schemeClr w14:val="tx1"/>
            </w14:solidFill>
          </w14:textFill>
        </w:rPr>
        <w:t>校园网络及监控、广播系统升级改造项目</w:t>
      </w:r>
    </w:p>
    <w:p>
      <w:pPr>
        <w:spacing w:line="360" w:lineRule="auto"/>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（项目编号：）</w:t>
      </w:r>
    </w:p>
    <w:p>
      <w:pPr>
        <w:spacing w:before="1404" w:beforeLines="450" w:line="360" w:lineRule="auto"/>
        <w:jc w:val="center"/>
        <w:rPr>
          <w:rFonts w:ascii="宋体" w:hAnsi="宋体" w:eastAsia="宋体" w:cs="宋体"/>
          <w:b/>
          <w:color w:val="000000" w:themeColor="text1"/>
          <w:spacing w:val="60"/>
          <w:sz w:val="72"/>
          <w:szCs w:val="72"/>
          <w14:textFill>
            <w14:solidFill>
              <w14:schemeClr w14:val="tx1"/>
            </w14:solidFill>
          </w14:textFill>
        </w:rPr>
      </w:pPr>
      <w:r>
        <w:rPr>
          <w:rFonts w:hint="eastAsia" w:ascii="宋体" w:hAnsi="宋体" w:eastAsia="宋体" w:cs="宋体"/>
          <w:b/>
          <w:color w:val="000000" w:themeColor="text1"/>
          <w:spacing w:val="60"/>
          <w:sz w:val="72"/>
          <w:szCs w:val="72"/>
          <w14:textFill>
            <w14:solidFill>
              <w14:schemeClr w14:val="tx1"/>
            </w14:solidFill>
          </w14:textFill>
        </w:rPr>
        <w:t>价格文件</w:t>
      </w:r>
    </w:p>
    <w:p>
      <w:pPr>
        <w:spacing w:after="1248" w:afterLines="400" w:line="360" w:lineRule="auto"/>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（封面格式仅供参考）</w:t>
      </w:r>
    </w:p>
    <w:tbl>
      <w:tblPr>
        <w:tblStyle w:val="21"/>
        <w:tblW w:w="71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28"/>
        <w:gridCol w:w="5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2028" w:type="dxa"/>
            <w:vAlign w:val="center"/>
          </w:tcPr>
          <w:p>
            <w:pPr>
              <w:spacing w:line="360" w:lineRule="auto"/>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投标单位全称：</w:t>
            </w:r>
          </w:p>
        </w:tc>
        <w:tc>
          <w:tcPr>
            <w:tcW w:w="5108" w:type="dxa"/>
            <w:vAlign w:val="center"/>
          </w:tcPr>
          <w:p>
            <w:pPr>
              <w:spacing w:line="360" w:lineRule="auto"/>
              <w:jc w:val="left"/>
              <w:rPr>
                <w:rFonts w:ascii="宋体" w:hAnsi="宋体" w:eastAsia="宋体" w:cs="宋体"/>
                <w:color w:val="000000" w:themeColor="text1"/>
                <w:sz w:val="24"/>
                <w:szCs w:val="24"/>
                <w:u w:val="singl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6" w:hRule="atLeast"/>
          <w:jc w:val="center"/>
        </w:trPr>
        <w:tc>
          <w:tcPr>
            <w:tcW w:w="2028" w:type="dxa"/>
            <w:vAlign w:val="center"/>
          </w:tcPr>
          <w:p>
            <w:pPr>
              <w:spacing w:line="360" w:lineRule="auto"/>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投标单位地址：</w:t>
            </w:r>
          </w:p>
        </w:tc>
        <w:tc>
          <w:tcPr>
            <w:tcW w:w="5108" w:type="dxa"/>
            <w:vAlign w:val="center"/>
          </w:tcPr>
          <w:p>
            <w:pPr>
              <w:spacing w:line="360" w:lineRule="auto"/>
              <w:jc w:val="left"/>
              <w:rPr>
                <w:rFonts w:ascii="宋体" w:hAnsi="宋体" w:eastAsia="宋体" w:cs="宋体"/>
                <w:color w:val="000000" w:themeColor="text1"/>
                <w:sz w:val="24"/>
                <w:szCs w:val="24"/>
                <w:u w:val="singl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28" w:type="dxa"/>
            <w:vAlign w:val="center"/>
          </w:tcPr>
          <w:p>
            <w:pPr>
              <w:spacing w:line="360" w:lineRule="auto"/>
              <w:jc w:val="center"/>
              <w:rPr>
                <w:rFonts w:ascii="宋体" w:hAnsi="宋体" w:eastAsia="宋体" w:cs="宋体"/>
                <w:color w:val="000000" w:themeColor="text1"/>
                <w:spacing w:val="-10"/>
                <w:sz w:val="24"/>
                <w:szCs w:val="24"/>
                <w14:textFill>
                  <w14:solidFill>
                    <w14:schemeClr w14:val="tx1"/>
                  </w14:solidFill>
                </w14:textFill>
              </w:rPr>
            </w:pPr>
            <w:r>
              <w:rPr>
                <w:rFonts w:hint="eastAsia" w:ascii="宋体" w:hAnsi="宋体" w:eastAsia="宋体" w:cs="宋体"/>
                <w:color w:val="000000" w:themeColor="text1"/>
                <w:spacing w:val="-10"/>
                <w:sz w:val="24"/>
                <w:szCs w:val="24"/>
                <w14:textFill>
                  <w14:solidFill>
                    <w14:schemeClr w14:val="tx1"/>
                  </w14:solidFill>
                </w14:textFill>
              </w:rPr>
              <w:t>投标单位联系人：</w:t>
            </w:r>
          </w:p>
        </w:tc>
        <w:tc>
          <w:tcPr>
            <w:tcW w:w="5108" w:type="dxa"/>
            <w:vAlign w:val="center"/>
          </w:tcPr>
          <w:p>
            <w:pPr>
              <w:spacing w:line="360" w:lineRule="auto"/>
              <w:jc w:val="left"/>
              <w:rPr>
                <w:rFonts w:ascii="宋体" w:hAnsi="宋体" w:eastAsia="宋体" w:cs="宋体"/>
                <w:color w:val="000000" w:themeColor="text1"/>
                <w:sz w:val="24"/>
                <w:szCs w:val="24"/>
                <w:u w:val="singl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jc w:val="center"/>
        </w:trPr>
        <w:tc>
          <w:tcPr>
            <w:tcW w:w="2028" w:type="dxa"/>
            <w:vAlign w:val="center"/>
          </w:tcPr>
          <w:p>
            <w:pPr>
              <w:spacing w:line="360" w:lineRule="auto"/>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投标单位固话：</w:t>
            </w:r>
          </w:p>
        </w:tc>
        <w:tc>
          <w:tcPr>
            <w:tcW w:w="5108" w:type="dxa"/>
            <w:vAlign w:val="center"/>
          </w:tcPr>
          <w:p>
            <w:pPr>
              <w:spacing w:line="360" w:lineRule="auto"/>
              <w:jc w:val="left"/>
              <w:rPr>
                <w:rFonts w:ascii="宋体" w:hAnsi="宋体" w:eastAsia="宋体" w:cs="宋体"/>
                <w:color w:val="000000" w:themeColor="text1"/>
                <w:sz w:val="24"/>
                <w:szCs w:val="24"/>
                <w:u w:val="singl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2028" w:type="dxa"/>
            <w:vAlign w:val="center"/>
          </w:tcPr>
          <w:p>
            <w:pPr>
              <w:spacing w:line="360" w:lineRule="auto"/>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投标单位传真：</w:t>
            </w:r>
          </w:p>
        </w:tc>
        <w:tc>
          <w:tcPr>
            <w:tcW w:w="5108" w:type="dxa"/>
            <w:vAlign w:val="center"/>
          </w:tcPr>
          <w:p>
            <w:pPr>
              <w:spacing w:line="360" w:lineRule="auto"/>
              <w:jc w:val="left"/>
              <w:rPr>
                <w:rFonts w:ascii="宋体" w:hAnsi="宋体" w:eastAsia="宋体" w:cs="宋体"/>
                <w:color w:val="000000" w:themeColor="text1"/>
                <w:sz w:val="24"/>
                <w:szCs w:val="24"/>
                <w:u w:val="single"/>
                <w14:textFill>
                  <w14:solidFill>
                    <w14:schemeClr w14:val="tx1"/>
                  </w14:solidFill>
                </w14:textFill>
              </w:rPr>
            </w:pPr>
          </w:p>
        </w:tc>
      </w:tr>
    </w:tbl>
    <w:p>
      <w:pPr>
        <w:spacing w:before="468" w:beforeLines="150" w:line="600" w:lineRule="exact"/>
        <w:jc w:val="center"/>
        <w:rPr>
          <w:rFonts w:ascii="宋体" w:hAnsi="宋体" w:eastAsia="宋体" w:cs="宋体"/>
          <w:b/>
          <w:bCs/>
          <w:color w:val="000000" w:themeColor="text1"/>
          <w:spacing w:val="40"/>
          <w:sz w:val="24"/>
          <w:szCs w:val="24"/>
          <w14:textFill>
            <w14:solidFill>
              <w14:schemeClr w14:val="tx1"/>
            </w14:solidFill>
          </w14:textFill>
        </w:rPr>
      </w:pPr>
      <w:r>
        <w:rPr>
          <w:rFonts w:hint="eastAsia" w:ascii="宋体" w:hAnsi="宋体" w:eastAsia="宋体" w:cs="宋体"/>
          <w:b/>
          <w:color w:val="000000" w:themeColor="text1"/>
          <w:spacing w:val="40"/>
          <w:sz w:val="24"/>
          <w:szCs w:val="24"/>
          <w14:textFill>
            <w14:solidFill>
              <w14:schemeClr w14:val="tx1"/>
            </w14:solidFill>
          </w14:textFill>
        </w:rPr>
        <w:t>日期：二零一 年 月 日</w:t>
      </w:r>
    </w:p>
    <w:p>
      <w:pPr>
        <w:pStyle w:val="4"/>
        <w:keepNext w:val="0"/>
        <w:keepLines w:val="0"/>
        <w:pageBreakBefore/>
        <w:spacing w:line="415" w:lineRule="auto"/>
        <w:jc w:val="left"/>
        <w:rPr>
          <w:rStyle w:val="23"/>
          <w:rFonts w:ascii="宋体" w:hAnsi="宋体" w:eastAsia="宋体" w:cs="宋体"/>
          <w:b/>
          <w:bCs w:val="0"/>
          <w:color w:val="000000" w:themeColor="text1"/>
          <w:spacing w:val="12"/>
          <w:sz w:val="21"/>
          <w:szCs w:val="21"/>
          <w14:textFill>
            <w14:solidFill>
              <w14:schemeClr w14:val="tx1"/>
            </w14:solidFill>
          </w14:textFill>
        </w:rPr>
      </w:pPr>
      <w:bookmarkStart w:id="119" w:name="_Toc405313958"/>
      <w:bookmarkStart w:id="120" w:name="_Toc13406"/>
      <w:bookmarkStart w:id="121" w:name="_Toc391627754"/>
      <w:r>
        <w:rPr>
          <w:rStyle w:val="23"/>
          <w:rFonts w:hint="eastAsia" w:ascii="宋体" w:hAnsi="宋体" w:eastAsia="宋体" w:cs="宋体"/>
          <w:b/>
          <w:bCs w:val="0"/>
          <w:color w:val="000000" w:themeColor="text1"/>
          <w:spacing w:val="12"/>
          <w:sz w:val="21"/>
          <w:szCs w:val="21"/>
          <w14:textFill>
            <w14:solidFill>
              <w14:schemeClr w14:val="tx1"/>
            </w14:solidFill>
          </w14:textFill>
        </w:rPr>
        <w:t>附件1-1  开标一览表</w:t>
      </w:r>
      <w:bookmarkEnd w:id="119"/>
      <w:bookmarkEnd w:id="120"/>
      <w:bookmarkEnd w:id="121"/>
    </w:p>
    <w:p>
      <w:pPr>
        <w:spacing w:before="624" w:beforeLines="200" w:after="312" w:afterLines="100" w:line="360" w:lineRule="auto"/>
        <w:jc w:val="center"/>
        <w:rPr>
          <w:rFonts w:ascii="宋体" w:hAnsi="宋体" w:eastAsia="宋体" w:cs="宋体"/>
          <w:b/>
          <w:color w:val="000000" w:themeColor="text1"/>
          <w:spacing w:val="20"/>
          <w:sz w:val="28"/>
          <w:szCs w:val="28"/>
          <w14:textFill>
            <w14:solidFill>
              <w14:schemeClr w14:val="tx1"/>
            </w14:solidFill>
          </w14:textFill>
        </w:rPr>
      </w:pPr>
      <w:r>
        <w:rPr>
          <w:rFonts w:hint="eastAsia" w:ascii="宋体" w:hAnsi="宋体" w:eastAsia="宋体" w:cs="宋体"/>
          <w:b/>
          <w:color w:val="000000" w:themeColor="text1"/>
          <w:spacing w:val="20"/>
          <w:sz w:val="28"/>
          <w:szCs w:val="28"/>
          <w14:textFill>
            <w14:solidFill>
              <w14:schemeClr w14:val="tx1"/>
            </w14:solidFill>
          </w14:textFill>
        </w:rPr>
        <w:t>开标一览表</w:t>
      </w:r>
    </w:p>
    <w:tbl>
      <w:tblPr>
        <w:tblStyle w:val="20"/>
        <w:tblW w:w="85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6"/>
        <w:gridCol w:w="3827"/>
        <w:gridCol w:w="2976"/>
        <w:gridCol w:w="10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65" w:hRule="atLeast"/>
          <w:jc w:val="center"/>
        </w:trPr>
        <w:tc>
          <w:tcPr>
            <w:tcW w:w="676" w:type="dxa"/>
            <w:tcBorders>
              <w:top w:val="single" w:color="auto" w:sz="4" w:space="0"/>
              <w:left w:val="single" w:color="auto" w:sz="4" w:space="0"/>
              <w:right w:val="single" w:color="auto" w:sz="4" w:space="0"/>
            </w:tcBorders>
            <w:vAlign w:val="center"/>
          </w:tcPr>
          <w:p>
            <w:pPr>
              <w:overflowPunct w:val="0"/>
              <w:adjustRightInd w:val="0"/>
              <w:spacing w:line="460" w:lineRule="exact"/>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序号</w:t>
            </w:r>
          </w:p>
        </w:tc>
        <w:tc>
          <w:tcPr>
            <w:tcW w:w="3827" w:type="dxa"/>
            <w:tcBorders>
              <w:top w:val="single" w:color="auto" w:sz="4" w:space="0"/>
              <w:left w:val="single" w:color="auto" w:sz="4" w:space="0"/>
              <w:right w:val="single" w:color="auto" w:sz="4" w:space="0"/>
            </w:tcBorders>
            <w:vAlign w:val="center"/>
          </w:tcPr>
          <w:p>
            <w:pPr>
              <w:overflowPunct w:val="0"/>
              <w:adjustRightInd w:val="0"/>
              <w:spacing w:line="460" w:lineRule="exact"/>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项目名称及项目编号</w:t>
            </w:r>
          </w:p>
        </w:tc>
        <w:tc>
          <w:tcPr>
            <w:tcW w:w="2976" w:type="dxa"/>
            <w:tcBorders>
              <w:top w:val="single" w:color="auto" w:sz="4" w:space="0"/>
              <w:left w:val="single" w:color="auto" w:sz="4" w:space="0"/>
              <w:bottom w:val="single" w:color="auto" w:sz="4" w:space="0"/>
              <w:right w:val="single" w:color="auto" w:sz="4" w:space="0"/>
            </w:tcBorders>
            <w:vAlign w:val="center"/>
          </w:tcPr>
          <w:p>
            <w:pPr>
              <w:overflowPunct w:val="0"/>
              <w:adjustRightInd w:val="0"/>
              <w:spacing w:line="460" w:lineRule="exact"/>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总报价（单位：元）</w:t>
            </w:r>
          </w:p>
        </w:tc>
        <w:tc>
          <w:tcPr>
            <w:tcW w:w="1049" w:type="dxa"/>
            <w:tcBorders>
              <w:top w:val="single" w:color="auto" w:sz="4" w:space="0"/>
              <w:left w:val="single" w:color="auto" w:sz="4" w:space="0"/>
              <w:right w:val="single" w:color="auto" w:sz="4" w:space="0"/>
            </w:tcBorders>
            <w:vAlign w:val="center"/>
          </w:tcPr>
          <w:p>
            <w:pPr>
              <w:overflowPunct w:val="0"/>
              <w:adjustRightInd w:val="0"/>
              <w:spacing w:line="460" w:lineRule="exact"/>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3"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overflowPunct w:val="0"/>
              <w:adjustRightInd w:val="0"/>
              <w:spacing w:line="460" w:lineRule="exact"/>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3827" w:type="dxa"/>
            <w:tcBorders>
              <w:top w:val="single" w:color="auto" w:sz="4" w:space="0"/>
              <w:left w:val="single" w:color="auto" w:sz="4" w:space="0"/>
              <w:bottom w:val="single" w:color="auto" w:sz="4" w:space="0"/>
              <w:right w:val="single" w:color="auto" w:sz="4" w:space="0"/>
            </w:tcBorders>
            <w:vAlign w:val="center"/>
          </w:tcPr>
          <w:p>
            <w:pPr>
              <w:overflowPunct w:val="0"/>
              <w:adjustRightInd w:val="0"/>
              <w:spacing w:line="460" w:lineRule="exact"/>
              <w:jc w:val="center"/>
              <w:rPr>
                <w:rFonts w:ascii="宋体" w:hAnsi="宋体" w:eastAsia="宋体" w:cs="宋体"/>
                <w:color w:val="000000" w:themeColor="text1"/>
                <w:szCs w:val="21"/>
                <w14:textFill>
                  <w14:solidFill>
                    <w14:schemeClr w14:val="tx1"/>
                  </w14:solidFill>
                </w14:textFill>
              </w:rPr>
            </w:pPr>
          </w:p>
        </w:tc>
        <w:tc>
          <w:tcPr>
            <w:tcW w:w="2976" w:type="dxa"/>
            <w:tcBorders>
              <w:top w:val="single" w:color="auto" w:sz="4" w:space="0"/>
              <w:left w:val="single" w:color="auto" w:sz="4" w:space="0"/>
              <w:bottom w:val="single" w:color="auto" w:sz="4" w:space="0"/>
              <w:right w:val="single" w:color="auto" w:sz="4" w:space="0"/>
            </w:tcBorders>
            <w:vAlign w:val="center"/>
          </w:tcPr>
          <w:p>
            <w:pPr>
              <w:overflowPunct w:val="0"/>
              <w:adjustRightInd w:val="0"/>
              <w:spacing w:line="460" w:lineRule="exact"/>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大写：</w:t>
            </w:r>
          </w:p>
          <w:p>
            <w:pPr>
              <w:overflowPunct w:val="0"/>
              <w:adjustRightInd w:val="0"/>
              <w:spacing w:line="460" w:lineRule="exact"/>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小写：</w:t>
            </w:r>
          </w:p>
        </w:tc>
        <w:tc>
          <w:tcPr>
            <w:tcW w:w="1049" w:type="dxa"/>
            <w:tcBorders>
              <w:top w:val="single" w:color="auto" w:sz="4" w:space="0"/>
              <w:left w:val="single" w:color="auto" w:sz="4" w:space="0"/>
              <w:bottom w:val="single" w:color="auto" w:sz="4" w:space="0"/>
              <w:right w:val="single" w:color="auto" w:sz="4" w:space="0"/>
            </w:tcBorders>
            <w:vAlign w:val="center"/>
          </w:tcPr>
          <w:p>
            <w:pPr>
              <w:overflowPunct w:val="0"/>
              <w:adjustRightInd w:val="0"/>
              <w:spacing w:line="460" w:lineRule="exact"/>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3" w:hRule="atLeast"/>
          <w:jc w:val="center"/>
        </w:trPr>
        <w:tc>
          <w:tcPr>
            <w:tcW w:w="4503"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spacing w:line="460" w:lineRule="exact"/>
              <w:jc w:val="lef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投标保证金：</w:t>
            </w:r>
          </w:p>
          <w:p>
            <w:pPr>
              <w:overflowPunct w:val="0"/>
              <w:adjustRightInd w:val="0"/>
              <w:spacing w:line="460" w:lineRule="exact"/>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提交方式：</w:t>
            </w:r>
          </w:p>
        </w:tc>
        <w:tc>
          <w:tcPr>
            <w:tcW w:w="4025"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spacing w:line="460" w:lineRule="exact"/>
              <w:jc w:val="lef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完工期：</w:t>
            </w:r>
          </w:p>
        </w:tc>
      </w:tr>
    </w:tbl>
    <w:p>
      <w:pPr>
        <w:spacing w:before="312" w:beforeLines="100"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注明：</w:t>
      </w:r>
    </w:p>
    <w:p>
      <w:pPr>
        <w:pStyle w:val="29"/>
        <w:numPr>
          <w:ilvl w:val="0"/>
          <w:numId w:val="45"/>
        </w:numPr>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投标总价栏须用文字和数字两种方式表示的投标总价。</w:t>
      </w:r>
    </w:p>
    <w:p>
      <w:pPr>
        <w:pStyle w:val="29"/>
        <w:numPr>
          <w:ilvl w:val="0"/>
          <w:numId w:val="45"/>
        </w:numPr>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开标一览表内容与投标文件中相应内容不一致的，以开标一览表为准。</w:t>
      </w:r>
    </w:p>
    <w:p>
      <w:pPr>
        <w:pStyle w:val="29"/>
        <w:numPr>
          <w:ilvl w:val="0"/>
          <w:numId w:val="45"/>
        </w:numPr>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大写金额和小写金额不一致的，以大写金额为准。</w:t>
      </w:r>
    </w:p>
    <w:p>
      <w:pPr>
        <w:pStyle w:val="29"/>
        <w:numPr>
          <w:ilvl w:val="0"/>
          <w:numId w:val="45"/>
        </w:numPr>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投标报价含税。</w:t>
      </w: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tbl>
      <w:tblPr>
        <w:tblStyle w:val="21"/>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53"/>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overflowPunct w:val="0"/>
              <w:adjustRightIn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投标人名称（加盖公章）：</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投标人法定代表人或被授权人（签名或盖私章）：</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年           月            日</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bl>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pStyle w:val="4"/>
        <w:keepNext w:val="0"/>
        <w:keepLines w:val="0"/>
        <w:pageBreakBefore/>
        <w:spacing w:line="415" w:lineRule="auto"/>
        <w:jc w:val="left"/>
        <w:rPr>
          <w:rStyle w:val="23"/>
          <w:rFonts w:ascii="宋体" w:hAnsi="宋体" w:eastAsia="宋体" w:cs="宋体"/>
          <w:b/>
          <w:bCs w:val="0"/>
          <w:color w:val="000000" w:themeColor="text1"/>
          <w:spacing w:val="12"/>
          <w:sz w:val="21"/>
          <w:szCs w:val="21"/>
          <w14:textFill>
            <w14:solidFill>
              <w14:schemeClr w14:val="tx1"/>
            </w14:solidFill>
          </w14:textFill>
        </w:rPr>
      </w:pPr>
      <w:bookmarkStart w:id="122" w:name="_Toc4435"/>
      <w:bookmarkStart w:id="123" w:name="_Toc391627755"/>
      <w:bookmarkStart w:id="124" w:name="_Toc405313959"/>
      <w:r>
        <w:rPr>
          <w:rStyle w:val="23"/>
          <w:rFonts w:hint="eastAsia" w:ascii="宋体" w:hAnsi="宋体" w:eastAsia="宋体" w:cs="宋体"/>
          <w:b/>
          <w:bCs w:val="0"/>
          <w:color w:val="000000" w:themeColor="text1"/>
          <w:spacing w:val="12"/>
          <w:sz w:val="21"/>
          <w:szCs w:val="21"/>
          <w14:textFill>
            <w14:solidFill>
              <w14:schemeClr w14:val="tx1"/>
            </w14:solidFill>
          </w14:textFill>
        </w:rPr>
        <w:t>附件1-2  投标明细报价表</w:t>
      </w:r>
      <w:bookmarkEnd w:id="122"/>
      <w:bookmarkEnd w:id="123"/>
      <w:bookmarkEnd w:id="124"/>
    </w:p>
    <w:p>
      <w:pPr>
        <w:spacing w:before="624" w:beforeLines="200" w:after="312" w:afterLines="100" w:line="360" w:lineRule="auto"/>
        <w:jc w:val="center"/>
        <w:rPr>
          <w:rFonts w:ascii="宋体" w:hAnsi="宋体" w:eastAsia="宋体" w:cs="宋体"/>
          <w:b/>
          <w:color w:val="000000" w:themeColor="text1"/>
          <w:spacing w:val="20"/>
          <w:sz w:val="28"/>
          <w:szCs w:val="28"/>
          <w14:textFill>
            <w14:solidFill>
              <w14:schemeClr w14:val="tx1"/>
            </w14:solidFill>
          </w14:textFill>
        </w:rPr>
      </w:pPr>
      <w:r>
        <w:rPr>
          <w:rFonts w:hint="eastAsia" w:ascii="宋体" w:hAnsi="宋体" w:eastAsia="宋体" w:cs="宋体"/>
          <w:b/>
          <w:color w:val="000000" w:themeColor="text1"/>
          <w:spacing w:val="20"/>
          <w:sz w:val="28"/>
          <w:szCs w:val="28"/>
          <w14:textFill>
            <w14:solidFill>
              <w14:schemeClr w14:val="tx1"/>
            </w14:solidFill>
          </w14:textFill>
        </w:rPr>
        <w:t>投标明细报价表</w:t>
      </w:r>
    </w:p>
    <w:tbl>
      <w:tblPr>
        <w:tblStyle w:val="20"/>
        <w:tblW w:w="8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2301"/>
        <w:gridCol w:w="639"/>
        <w:gridCol w:w="959"/>
        <w:gridCol w:w="879"/>
        <w:gridCol w:w="1597"/>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8526" w:type="dxa"/>
            <w:gridSpan w:val="7"/>
            <w:vAlign w:val="center"/>
          </w:tcPr>
          <w:p>
            <w:pPr>
              <w:jc w:val="left"/>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 xml:space="preserve">项目名称：                               </w:t>
            </w:r>
            <w:r>
              <w:rPr>
                <w:rFonts w:hint="eastAsia" w:ascii="宋体" w:hAnsi="宋体" w:eastAsia="宋体" w:cs="宋体"/>
                <w:b/>
                <w:color w:val="000000" w:themeColor="text1"/>
                <w:szCs w:val="21"/>
                <w14:textFill>
                  <w14:solidFill>
                    <w14:schemeClr w14:val="tx1"/>
                  </w14:solidFill>
                </w14:textFill>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58" w:type="dxa"/>
            <w:vAlign w:val="center"/>
          </w:tcPr>
          <w:p>
            <w:pPr>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序号</w:t>
            </w:r>
          </w:p>
        </w:tc>
        <w:tc>
          <w:tcPr>
            <w:tcW w:w="2301" w:type="dxa"/>
            <w:vAlign w:val="center"/>
          </w:tcPr>
          <w:p>
            <w:pPr>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货物/服务名称</w:t>
            </w:r>
          </w:p>
        </w:tc>
        <w:tc>
          <w:tcPr>
            <w:tcW w:w="639" w:type="dxa"/>
            <w:vAlign w:val="center"/>
          </w:tcPr>
          <w:p>
            <w:pPr>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单位</w:t>
            </w:r>
          </w:p>
        </w:tc>
        <w:tc>
          <w:tcPr>
            <w:tcW w:w="959" w:type="dxa"/>
            <w:vAlign w:val="center"/>
          </w:tcPr>
          <w:p>
            <w:pPr>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单价（元）</w:t>
            </w:r>
          </w:p>
        </w:tc>
        <w:tc>
          <w:tcPr>
            <w:tcW w:w="879" w:type="dxa"/>
            <w:vAlign w:val="center"/>
          </w:tcPr>
          <w:p>
            <w:pPr>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数量</w:t>
            </w:r>
          </w:p>
        </w:tc>
        <w:tc>
          <w:tcPr>
            <w:tcW w:w="1597" w:type="dxa"/>
            <w:vAlign w:val="center"/>
          </w:tcPr>
          <w:p>
            <w:pPr>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小计（元）</w:t>
            </w:r>
          </w:p>
        </w:tc>
        <w:tc>
          <w:tcPr>
            <w:tcW w:w="1593" w:type="dxa"/>
            <w:vAlign w:val="center"/>
          </w:tcPr>
          <w:p>
            <w:pPr>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是否小型/微型企业产品/服务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58" w:type="dxa"/>
            <w:vAlign w:val="center"/>
          </w:tcPr>
          <w:p>
            <w:pPr>
              <w:jc w:val="center"/>
              <w:rPr>
                <w:rFonts w:ascii="宋体" w:hAnsi="宋体" w:eastAsia="宋体" w:cs="宋体"/>
                <w:color w:val="000000" w:themeColor="text1"/>
                <w:szCs w:val="21"/>
                <w14:textFill>
                  <w14:solidFill>
                    <w14:schemeClr w14:val="tx1"/>
                  </w14:solidFill>
                </w14:textFill>
              </w:rPr>
            </w:pPr>
          </w:p>
        </w:tc>
        <w:tc>
          <w:tcPr>
            <w:tcW w:w="2301" w:type="dxa"/>
            <w:vAlign w:val="center"/>
          </w:tcPr>
          <w:p>
            <w:pPr>
              <w:rPr>
                <w:rFonts w:ascii="宋体" w:hAnsi="宋体" w:eastAsia="宋体" w:cs="宋体"/>
                <w:color w:val="000000" w:themeColor="text1"/>
                <w:szCs w:val="21"/>
                <w14:textFill>
                  <w14:solidFill>
                    <w14:schemeClr w14:val="tx1"/>
                  </w14:solidFill>
                </w14:textFill>
              </w:rPr>
            </w:pPr>
          </w:p>
        </w:tc>
        <w:tc>
          <w:tcPr>
            <w:tcW w:w="639" w:type="dxa"/>
            <w:vAlign w:val="center"/>
          </w:tcPr>
          <w:p>
            <w:pPr>
              <w:jc w:val="center"/>
              <w:rPr>
                <w:rFonts w:ascii="宋体" w:hAnsi="宋体" w:eastAsia="宋体" w:cs="宋体"/>
                <w:color w:val="000000" w:themeColor="text1"/>
                <w:szCs w:val="21"/>
                <w14:textFill>
                  <w14:solidFill>
                    <w14:schemeClr w14:val="tx1"/>
                  </w14:solidFill>
                </w14:textFill>
              </w:rPr>
            </w:pPr>
          </w:p>
        </w:tc>
        <w:tc>
          <w:tcPr>
            <w:tcW w:w="959" w:type="dxa"/>
            <w:vAlign w:val="center"/>
          </w:tcPr>
          <w:p>
            <w:pPr>
              <w:jc w:val="center"/>
              <w:rPr>
                <w:rFonts w:ascii="宋体" w:hAnsi="宋体" w:eastAsia="宋体" w:cs="宋体"/>
                <w:color w:val="000000" w:themeColor="text1"/>
                <w:szCs w:val="21"/>
                <w14:textFill>
                  <w14:solidFill>
                    <w14:schemeClr w14:val="tx1"/>
                  </w14:solidFill>
                </w14:textFill>
              </w:rPr>
            </w:pPr>
          </w:p>
        </w:tc>
        <w:tc>
          <w:tcPr>
            <w:tcW w:w="879" w:type="dxa"/>
            <w:vAlign w:val="center"/>
          </w:tcPr>
          <w:p>
            <w:pPr>
              <w:jc w:val="center"/>
              <w:rPr>
                <w:rFonts w:ascii="宋体" w:hAnsi="宋体" w:eastAsia="宋体" w:cs="宋体"/>
                <w:color w:val="000000" w:themeColor="text1"/>
                <w:szCs w:val="21"/>
                <w14:textFill>
                  <w14:solidFill>
                    <w14:schemeClr w14:val="tx1"/>
                  </w14:solidFill>
                </w14:textFill>
              </w:rPr>
            </w:pPr>
          </w:p>
        </w:tc>
        <w:tc>
          <w:tcPr>
            <w:tcW w:w="1597" w:type="dxa"/>
            <w:vAlign w:val="center"/>
          </w:tcPr>
          <w:p>
            <w:pPr>
              <w:jc w:val="center"/>
              <w:rPr>
                <w:rFonts w:ascii="宋体" w:hAnsi="宋体" w:eastAsia="宋体" w:cs="宋体"/>
                <w:color w:val="000000" w:themeColor="text1"/>
                <w:szCs w:val="21"/>
                <w14:textFill>
                  <w14:solidFill>
                    <w14:schemeClr w14:val="tx1"/>
                  </w14:solidFill>
                </w14:textFill>
              </w:rPr>
            </w:pPr>
          </w:p>
        </w:tc>
        <w:tc>
          <w:tcPr>
            <w:tcW w:w="1593" w:type="dxa"/>
            <w:vAlign w:val="center"/>
          </w:tcPr>
          <w:p>
            <w:pPr>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58" w:type="dxa"/>
            <w:vAlign w:val="center"/>
          </w:tcPr>
          <w:p>
            <w:pPr>
              <w:jc w:val="center"/>
              <w:rPr>
                <w:rFonts w:ascii="宋体" w:hAnsi="宋体" w:eastAsia="宋体" w:cs="宋体"/>
                <w:color w:val="000000" w:themeColor="text1"/>
                <w:szCs w:val="21"/>
                <w14:textFill>
                  <w14:solidFill>
                    <w14:schemeClr w14:val="tx1"/>
                  </w14:solidFill>
                </w14:textFill>
              </w:rPr>
            </w:pPr>
          </w:p>
        </w:tc>
        <w:tc>
          <w:tcPr>
            <w:tcW w:w="2301" w:type="dxa"/>
            <w:vAlign w:val="center"/>
          </w:tcPr>
          <w:p>
            <w:pPr>
              <w:rPr>
                <w:rFonts w:ascii="宋体" w:hAnsi="宋体" w:eastAsia="宋体" w:cs="宋体"/>
                <w:color w:val="000000" w:themeColor="text1"/>
                <w:szCs w:val="21"/>
                <w14:textFill>
                  <w14:solidFill>
                    <w14:schemeClr w14:val="tx1"/>
                  </w14:solidFill>
                </w14:textFill>
              </w:rPr>
            </w:pPr>
          </w:p>
        </w:tc>
        <w:tc>
          <w:tcPr>
            <w:tcW w:w="639" w:type="dxa"/>
            <w:vAlign w:val="center"/>
          </w:tcPr>
          <w:p>
            <w:pPr>
              <w:jc w:val="center"/>
              <w:rPr>
                <w:rFonts w:ascii="宋体" w:hAnsi="宋体" w:eastAsia="宋体" w:cs="宋体"/>
                <w:color w:val="000000" w:themeColor="text1"/>
                <w:szCs w:val="21"/>
                <w14:textFill>
                  <w14:solidFill>
                    <w14:schemeClr w14:val="tx1"/>
                  </w14:solidFill>
                </w14:textFill>
              </w:rPr>
            </w:pPr>
          </w:p>
        </w:tc>
        <w:tc>
          <w:tcPr>
            <w:tcW w:w="959" w:type="dxa"/>
            <w:vAlign w:val="center"/>
          </w:tcPr>
          <w:p>
            <w:pPr>
              <w:jc w:val="center"/>
              <w:rPr>
                <w:rFonts w:ascii="宋体" w:hAnsi="宋体" w:eastAsia="宋体" w:cs="宋体"/>
                <w:color w:val="000000" w:themeColor="text1"/>
                <w:szCs w:val="21"/>
                <w14:textFill>
                  <w14:solidFill>
                    <w14:schemeClr w14:val="tx1"/>
                  </w14:solidFill>
                </w14:textFill>
              </w:rPr>
            </w:pPr>
          </w:p>
        </w:tc>
        <w:tc>
          <w:tcPr>
            <w:tcW w:w="879" w:type="dxa"/>
            <w:vAlign w:val="center"/>
          </w:tcPr>
          <w:p>
            <w:pPr>
              <w:jc w:val="center"/>
              <w:rPr>
                <w:rFonts w:ascii="宋体" w:hAnsi="宋体" w:eastAsia="宋体" w:cs="宋体"/>
                <w:color w:val="000000" w:themeColor="text1"/>
                <w:szCs w:val="21"/>
                <w14:textFill>
                  <w14:solidFill>
                    <w14:schemeClr w14:val="tx1"/>
                  </w14:solidFill>
                </w14:textFill>
              </w:rPr>
            </w:pPr>
          </w:p>
        </w:tc>
        <w:tc>
          <w:tcPr>
            <w:tcW w:w="1597" w:type="dxa"/>
            <w:vAlign w:val="center"/>
          </w:tcPr>
          <w:p>
            <w:pPr>
              <w:jc w:val="center"/>
              <w:rPr>
                <w:rFonts w:ascii="宋体" w:hAnsi="宋体" w:eastAsia="宋体" w:cs="宋体"/>
                <w:color w:val="000000" w:themeColor="text1"/>
                <w:szCs w:val="21"/>
                <w14:textFill>
                  <w14:solidFill>
                    <w14:schemeClr w14:val="tx1"/>
                  </w14:solidFill>
                </w14:textFill>
              </w:rPr>
            </w:pPr>
          </w:p>
        </w:tc>
        <w:tc>
          <w:tcPr>
            <w:tcW w:w="1593" w:type="dxa"/>
            <w:vAlign w:val="center"/>
          </w:tcPr>
          <w:p>
            <w:pPr>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58" w:type="dxa"/>
            <w:vAlign w:val="center"/>
          </w:tcPr>
          <w:p>
            <w:pPr>
              <w:jc w:val="center"/>
              <w:rPr>
                <w:rFonts w:ascii="宋体" w:hAnsi="宋体" w:eastAsia="宋体" w:cs="宋体"/>
                <w:color w:val="000000" w:themeColor="text1"/>
                <w:szCs w:val="21"/>
                <w14:textFill>
                  <w14:solidFill>
                    <w14:schemeClr w14:val="tx1"/>
                  </w14:solidFill>
                </w14:textFill>
              </w:rPr>
            </w:pPr>
          </w:p>
        </w:tc>
        <w:tc>
          <w:tcPr>
            <w:tcW w:w="2301" w:type="dxa"/>
            <w:vAlign w:val="center"/>
          </w:tcPr>
          <w:p>
            <w:pPr>
              <w:rPr>
                <w:rFonts w:ascii="宋体" w:hAnsi="宋体" w:eastAsia="宋体" w:cs="宋体"/>
                <w:color w:val="000000" w:themeColor="text1"/>
                <w:szCs w:val="21"/>
                <w14:textFill>
                  <w14:solidFill>
                    <w14:schemeClr w14:val="tx1"/>
                  </w14:solidFill>
                </w14:textFill>
              </w:rPr>
            </w:pPr>
          </w:p>
        </w:tc>
        <w:tc>
          <w:tcPr>
            <w:tcW w:w="639" w:type="dxa"/>
            <w:vAlign w:val="center"/>
          </w:tcPr>
          <w:p>
            <w:pPr>
              <w:jc w:val="center"/>
              <w:rPr>
                <w:rFonts w:ascii="宋体" w:hAnsi="宋体" w:eastAsia="宋体" w:cs="宋体"/>
                <w:color w:val="000000" w:themeColor="text1"/>
                <w:szCs w:val="21"/>
                <w14:textFill>
                  <w14:solidFill>
                    <w14:schemeClr w14:val="tx1"/>
                  </w14:solidFill>
                </w14:textFill>
              </w:rPr>
            </w:pPr>
          </w:p>
        </w:tc>
        <w:tc>
          <w:tcPr>
            <w:tcW w:w="959" w:type="dxa"/>
            <w:vAlign w:val="center"/>
          </w:tcPr>
          <w:p>
            <w:pPr>
              <w:jc w:val="center"/>
              <w:rPr>
                <w:rFonts w:ascii="宋体" w:hAnsi="宋体" w:eastAsia="宋体" w:cs="宋体"/>
                <w:color w:val="000000" w:themeColor="text1"/>
                <w:szCs w:val="21"/>
                <w14:textFill>
                  <w14:solidFill>
                    <w14:schemeClr w14:val="tx1"/>
                  </w14:solidFill>
                </w14:textFill>
              </w:rPr>
            </w:pPr>
          </w:p>
        </w:tc>
        <w:tc>
          <w:tcPr>
            <w:tcW w:w="879" w:type="dxa"/>
            <w:vAlign w:val="center"/>
          </w:tcPr>
          <w:p>
            <w:pPr>
              <w:jc w:val="center"/>
              <w:rPr>
                <w:rFonts w:ascii="宋体" w:hAnsi="宋体" w:eastAsia="宋体" w:cs="宋体"/>
                <w:color w:val="000000" w:themeColor="text1"/>
                <w:szCs w:val="21"/>
                <w14:textFill>
                  <w14:solidFill>
                    <w14:schemeClr w14:val="tx1"/>
                  </w14:solidFill>
                </w14:textFill>
              </w:rPr>
            </w:pPr>
          </w:p>
        </w:tc>
        <w:tc>
          <w:tcPr>
            <w:tcW w:w="1597" w:type="dxa"/>
            <w:vAlign w:val="center"/>
          </w:tcPr>
          <w:p>
            <w:pPr>
              <w:jc w:val="center"/>
              <w:rPr>
                <w:rFonts w:ascii="宋体" w:hAnsi="宋体" w:eastAsia="宋体" w:cs="宋体"/>
                <w:color w:val="000000" w:themeColor="text1"/>
                <w:szCs w:val="21"/>
                <w14:textFill>
                  <w14:solidFill>
                    <w14:schemeClr w14:val="tx1"/>
                  </w14:solidFill>
                </w14:textFill>
              </w:rPr>
            </w:pPr>
          </w:p>
        </w:tc>
        <w:tc>
          <w:tcPr>
            <w:tcW w:w="1593" w:type="dxa"/>
            <w:vAlign w:val="center"/>
          </w:tcPr>
          <w:p>
            <w:pPr>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58" w:type="dxa"/>
            <w:vAlign w:val="center"/>
          </w:tcPr>
          <w:p>
            <w:pPr>
              <w:jc w:val="center"/>
              <w:rPr>
                <w:rFonts w:ascii="宋体" w:hAnsi="宋体" w:eastAsia="宋体" w:cs="宋体"/>
                <w:color w:val="000000" w:themeColor="text1"/>
                <w:szCs w:val="21"/>
                <w14:textFill>
                  <w14:solidFill>
                    <w14:schemeClr w14:val="tx1"/>
                  </w14:solidFill>
                </w14:textFill>
              </w:rPr>
            </w:pPr>
          </w:p>
        </w:tc>
        <w:tc>
          <w:tcPr>
            <w:tcW w:w="2301" w:type="dxa"/>
            <w:vAlign w:val="center"/>
          </w:tcPr>
          <w:p>
            <w:pPr>
              <w:rPr>
                <w:rFonts w:ascii="宋体" w:hAnsi="宋体" w:eastAsia="宋体" w:cs="宋体"/>
                <w:color w:val="000000" w:themeColor="text1"/>
                <w:szCs w:val="21"/>
                <w14:textFill>
                  <w14:solidFill>
                    <w14:schemeClr w14:val="tx1"/>
                  </w14:solidFill>
                </w14:textFill>
              </w:rPr>
            </w:pPr>
          </w:p>
        </w:tc>
        <w:tc>
          <w:tcPr>
            <w:tcW w:w="639" w:type="dxa"/>
            <w:vAlign w:val="center"/>
          </w:tcPr>
          <w:p>
            <w:pPr>
              <w:jc w:val="center"/>
              <w:rPr>
                <w:rFonts w:ascii="宋体" w:hAnsi="宋体" w:eastAsia="宋体" w:cs="宋体"/>
                <w:color w:val="000000" w:themeColor="text1"/>
                <w:szCs w:val="21"/>
                <w14:textFill>
                  <w14:solidFill>
                    <w14:schemeClr w14:val="tx1"/>
                  </w14:solidFill>
                </w14:textFill>
              </w:rPr>
            </w:pPr>
          </w:p>
        </w:tc>
        <w:tc>
          <w:tcPr>
            <w:tcW w:w="959" w:type="dxa"/>
            <w:vAlign w:val="center"/>
          </w:tcPr>
          <w:p>
            <w:pPr>
              <w:jc w:val="center"/>
              <w:rPr>
                <w:rFonts w:ascii="宋体" w:hAnsi="宋体" w:eastAsia="宋体" w:cs="宋体"/>
                <w:color w:val="000000" w:themeColor="text1"/>
                <w:szCs w:val="21"/>
                <w14:textFill>
                  <w14:solidFill>
                    <w14:schemeClr w14:val="tx1"/>
                  </w14:solidFill>
                </w14:textFill>
              </w:rPr>
            </w:pPr>
          </w:p>
        </w:tc>
        <w:tc>
          <w:tcPr>
            <w:tcW w:w="879" w:type="dxa"/>
            <w:vAlign w:val="center"/>
          </w:tcPr>
          <w:p>
            <w:pPr>
              <w:jc w:val="center"/>
              <w:rPr>
                <w:rFonts w:ascii="宋体" w:hAnsi="宋体" w:eastAsia="宋体" w:cs="宋体"/>
                <w:color w:val="000000" w:themeColor="text1"/>
                <w:szCs w:val="21"/>
                <w14:textFill>
                  <w14:solidFill>
                    <w14:schemeClr w14:val="tx1"/>
                  </w14:solidFill>
                </w14:textFill>
              </w:rPr>
            </w:pPr>
          </w:p>
        </w:tc>
        <w:tc>
          <w:tcPr>
            <w:tcW w:w="1597" w:type="dxa"/>
            <w:vAlign w:val="center"/>
          </w:tcPr>
          <w:p>
            <w:pPr>
              <w:jc w:val="center"/>
              <w:rPr>
                <w:rFonts w:ascii="宋体" w:hAnsi="宋体" w:eastAsia="宋体" w:cs="宋体"/>
                <w:color w:val="000000" w:themeColor="text1"/>
                <w:szCs w:val="21"/>
                <w14:textFill>
                  <w14:solidFill>
                    <w14:schemeClr w14:val="tx1"/>
                  </w14:solidFill>
                </w14:textFill>
              </w:rPr>
            </w:pPr>
          </w:p>
        </w:tc>
        <w:tc>
          <w:tcPr>
            <w:tcW w:w="1593" w:type="dxa"/>
            <w:vAlign w:val="center"/>
          </w:tcPr>
          <w:p>
            <w:pPr>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58" w:type="dxa"/>
            <w:vAlign w:val="center"/>
          </w:tcPr>
          <w:p>
            <w:pPr>
              <w:jc w:val="center"/>
              <w:rPr>
                <w:rFonts w:ascii="宋体" w:hAnsi="宋体" w:eastAsia="宋体" w:cs="宋体"/>
                <w:color w:val="000000" w:themeColor="text1"/>
                <w:szCs w:val="21"/>
                <w14:textFill>
                  <w14:solidFill>
                    <w14:schemeClr w14:val="tx1"/>
                  </w14:solidFill>
                </w14:textFill>
              </w:rPr>
            </w:pPr>
          </w:p>
        </w:tc>
        <w:tc>
          <w:tcPr>
            <w:tcW w:w="2301" w:type="dxa"/>
            <w:vAlign w:val="center"/>
          </w:tcPr>
          <w:p>
            <w:pPr>
              <w:rPr>
                <w:rFonts w:ascii="宋体" w:hAnsi="宋体" w:eastAsia="宋体" w:cs="宋体"/>
                <w:color w:val="000000" w:themeColor="text1"/>
                <w:szCs w:val="21"/>
                <w14:textFill>
                  <w14:solidFill>
                    <w14:schemeClr w14:val="tx1"/>
                  </w14:solidFill>
                </w14:textFill>
              </w:rPr>
            </w:pPr>
          </w:p>
        </w:tc>
        <w:tc>
          <w:tcPr>
            <w:tcW w:w="639" w:type="dxa"/>
            <w:vAlign w:val="center"/>
          </w:tcPr>
          <w:p>
            <w:pPr>
              <w:jc w:val="center"/>
              <w:rPr>
                <w:rFonts w:ascii="宋体" w:hAnsi="宋体" w:eastAsia="宋体" w:cs="宋体"/>
                <w:color w:val="000000" w:themeColor="text1"/>
                <w:szCs w:val="21"/>
                <w14:textFill>
                  <w14:solidFill>
                    <w14:schemeClr w14:val="tx1"/>
                  </w14:solidFill>
                </w14:textFill>
              </w:rPr>
            </w:pPr>
          </w:p>
        </w:tc>
        <w:tc>
          <w:tcPr>
            <w:tcW w:w="959" w:type="dxa"/>
            <w:vAlign w:val="center"/>
          </w:tcPr>
          <w:p>
            <w:pPr>
              <w:jc w:val="center"/>
              <w:rPr>
                <w:rFonts w:ascii="宋体" w:hAnsi="宋体" w:eastAsia="宋体" w:cs="宋体"/>
                <w:color w:val="000000" w:themeColor="text1"/>
                <w:szCs w:val="21"/>
                <w14:textFill>
                  <w14:solidFill>
                    <w14:schemeClr w14:val="tx1"/>
                  </w14:solidFill>
                </w14:textFill>
              </w:rPr>
            </w:pPr>
          </w:p>
        </w:tc>
        <w:tc>
          <w:tcPr>
            <w:tcW w:w="879" w:type="dxa"/>
            <w:vAlign w:val="center"/>
          </w:tcPr>
          <w:p>
            <w:pPr>
              <w:jc w:val="center"/>
              <w:rPr>
                <w:rFonts w:ascii="宋体" w:hAnsi="宋体" w:eastAsia="宋体" w:cs="宋体"/>
                <w:color w:val="000000" w:themeColor="text1"/>
                <w:szCs w:val="21"/>
                <w14:textFill>
                  <w14:solidFill>
                    <w14:schemeClr w14:val="tx1"/>
                  </w14:solidFill>
                </w14:textFill>
              </w:rPr>
            </w:pPr>
          </w:p>
        </w:tc>
        <w:tc>
          <w:tcPr>
            <w:tcW w:w="1597" w:type="dxa"/>
            <w:vAlign w:val="center"/>
          </w:tcPr>
          <w:p>
            <w:pPr>
              <w:jc w:val="center"/>
              <w:rPr>
                <w:rFonts w:ascii="宋体" w:hAnsi="宋体" w:eastAsia="宋体" w:cs="宋体"/>
                <w:color w:val="000000" w:themeColor="text1"/>
                <w:szCs w:val="21"/>
                <w14:textFill>
                  <w14:solidFill>
                    <w14:schemeClr w14:val="tx1"/>
                  </w14:solidFill>
                </w14:textFill>
              </w:rPr>
            </w:pPr>
          </w:p>
        </w:tc>
        <w:tc>
          <w:tcPr>
            <w:tcW w:w="1593" w:type="dxa"/>
            <w:vAlign w:val="center"/>
          </w:tcPr>
          <w:p>
            <w:pPr>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58" w:type="dxa"/>
            <w:vAlign w:val="center"/>
          </w:tcPr>
          <w:p>
            <w:pPr>
              <w:jc w:val="center"/>
              <w:rPr>
                <w:rFonts w:ascii="宋体" w:hAnsi="宋体" w:eastAsia="宋体" w:cs="宋体"/>
                <w:color w:val="000000" w:themeColor="text1"/>
                <w:szCs w:val="21"/>
                <w14:textFill>
                  <w14:solidFill>
                    <w14:schemeClr w14:val="tx1"/>
                  </w14:solidFill>
                </w14:textFill>
              </w:rPr>
            </w:pPr>
          </w:p>
        </w:tc>
        <w:tc>
          <w:tcPr>
            <w:tcW w:w="2301" w:type="dxa"/>
            <w:vAlign w:val="center"/>
          </w:tcPr>
          <w:p>
            <w:pPr>
              <w:rPr>
                <w:rFonts w:ascii="宋体" w:hAnsi="宋体" w:eastAsia="宋体" w:cs="宋体"/>
                <w:color w:val="000000" w:themeColor="text1"/>
                <w:szCs w:val="21"/>
                <w14:textFill>
                  <w14:solidFill>
                    <w14:schemeClr w14:val="tx1"/>
                  </w14:solidFill>
                </w14:textFill>
              </w:rPr>
            </w:pPr>
          </w:p>
        </w:tc>
        <w:tc>
          <w:tcPr>
            <w:tcW w:w="639" w:type="dxa"/>
            <w:vAlign w:val="center"/>
          </w:tcPr>
          <w:p>
            <w:pPr>
              <w:jc w:val="center"/>
              <w:rPr>
                <w:rFonts w:ascii="宋体" w:hAnsi="宋体" w:eastAsia="宋体" w:cs="宋体"/>
                <w:color w:val="000000" w:themeColor="text1"/>
                <w:szCs w:val="21"/>
                <w14:textFill>
                  <w14:solidFill>
                    <w14:schemeClr w14:val="tx1"/>
                  </w14:solidFill>
                </w14:textFill>
              </w:rPr>
            </w:pPr>
          </w:p>
        </w:tc>
        <w:tc>
          <w:tcPr>
            <w:tcW w:w="959" w:type="dxa"/>
            <w:vAlign w:val="center"/>
          </w:tcPr>
          <w:p>
            <w:pPr>
              <w:jc w:val="center"/>
              <w:rPr>
                <w:rFonts w:ascii="宋体" w:hAnsi="宋体" w:eastAsia="宋体" w:cs="宋体"/>
                <w:color w:val="000000" w:themeColor="text1"/>
                <w:szCs w:val="21"/>
                <w14:textFill>
                  <w14:solidFill>
                    <w14:schemeClr w14:val="tx1"/>
                  </w14:solidFill>
                </w14:textFill>
              </w:rPr>
            </w:pPr>
          </w:p>
        </w:tc>
        <w:tc>
          <w:tcPr>
            <w:tcW w:w="879" w:type="dxa"/>
            <w:vAlign w:val="center"/>
          </w:tcPr>
          <w:p>
            <w:pPr>
              <w:jc w:val="center"/>
              <w:rPr>
                <w:rFonts w:ascii="宋体" w:hAnsi="宋体" w:eastAsia="宋体" w:cs="宋体"/>
                <w:color w:val="000000" w:themeColor="text1"/>
                <w:szCs w:val="21"/>
                <w14:textFill>
                  <w14:solidFill>
                    <w14:schemeClr w14:val="tx1"/>
                  </w14:solidFill>
                </w14:textFill>
              </w:rPr>
            </w:pPr>
          </w:p>
        </w:tc>
        <w:tc>
          <w:tcPr>
            <w:tcW w:w="1597" w:type="dxa"/>
            <w:vAlign w:val="center"/>
          </w:tcPr>
          <w:p>
            <w:pPr>
              <w:jc w:val="center"/>
              <w:rPr>
                <w:rFonts w:ascii="宋体" w:hAnsi="宋体" w:eastAsia="宋体" w:cs="宋体"/>
                <w:color w:val="000000" w:themeColor="text1"/>
                <w:szCs w:val="21"/>
                <w14:textFill>
                  <w14:solidFill>
                    <w14:schemeClr w14:val="tx1"/>
                  </w14:solidFill>
                </w14:textFill>
              </w:rPr>
            </w:pPr>
          </w:p>
        </w:tc>
        <w:tc>
          <w:tcPr>
            <w:tcW w:w="1593" w:type="dxa"/>
            <w:vAlign w:val="center"/>
          </w:tcPr>
          <w:p>
            <w:pPr>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58" w:type="dxa"/>
            <w:vAlign w:val="center"/>
          </w:tcPr>
          <w:p>
            <w:pPr>
              <w:jc w:val="center"/>
              <w:rPr>
                <w:rFonts w:ascii="宋体" w:hAnsi="宋体" w:eastAsia="宋体" w:cs="宋体"/>
                <w:color w:val="000000" w:themeColor="text1"/>
                <w:szCs w:val="21"/>
                <w14:textFill>
                  <w14:solidFill>
                    <w14:schemeClr w14:val="tx1"/>
                  </w14:solidFill>
                </w14:textFill>
              </w:rPr>
            </w:pPr>
          </w:p>
        </w:tc>
        <w:tc>
          <w:tcPr>
            <w:tcW w:w="2301" w:type="dxa"/>
            <w:vAlign w:val="center"/>
          </w:tcPr>
          <w:p>
            <w:pPr>
              <w:rPr>
                <w:rFonts w:ascii="宋体" w:hAnsi="宋体" w:eastAsia="宋体" w:cs="宋体"/>
                <w:color w:val="000000" w:themeColor="text1"/>
                <w:szCs w:val="21"/>
                <w14:textFill>
                  <w14:solidFill>
                    <w14:schemeClr w14:val="tx1"/>
                  </w14:solidFill>
                </w14:textFill>
              </w:rPr>
            </w:pPr>
          </w:p>
        </w:tc>
        <w:tc>
          <w:tcPr>
            <w:tcW w:w="639" w:type="dxa"/>
            <w:vAlign w:val="center"/>
          </w:tcPr>
          <w:p>
            <w:pPr>
              <w:jc w:val="center"/>
              <w:rPr>
                <w:rFonts w:ascii="宋体" w:hAnsi="宋体" w:eastAsia="宋体" w:cs="宋体"/>
                <w:color w:val="000000" w:themeColor="text1"/>
                <w:szCs w:val="21"/>
                <w14:textFill>
                  <w14:solidFill>
                    <w14:schemeClr w14:val="tx1"/>
                  </w14:solidFill>
                </w14:textFill>
              </w:rPr>
            </w:pPr>
          </w:p>
        </w:tc>
        <w:tc>
          <w:tcPr>
            <w:tcW w:w="959" w:type="dxa"/>
            <w:vAlign w:val="center"/>
          </w:tcPr>
          <w:p>
            <w:pPr>
              <w:jc w:val="center"/>
              <w:rPr>
                <w:rFonts w:ascii="宋体" w:hAnsi="宋体" w:eastAsia="宋体" w:cs="宋体"/>
                <w:color w:val="000000" w:themeColor="text1"/>
                <w:szCs w:val="21"/>
                <w14:textFill>
                  <w14:solidFill>
                    <w14:schemeClr w14:val="tx1"/>
                  </w14:solidFill>
                </w14:textFill>
              </w:rPr>
            </w:pPr>
          </w:p>
        </w:tc>
        <w:tc>
          <w:tcPr>
            <w:tcW w:w="879" w:type="dxa"/>
            <w:vAlign w:val="center"/>
          </w:tcPr>
          <w:p>
            <w:pPr>
              <w:jc w:val="center"/>
              <w:rPr>
                <w:rFonts w:ascii="宋体" w:hAnsi="宋体" w:eastAsia="宋体" w:cs="宋体"/>
                <w:color w:val="000000" w:themeColor="text1"/>
                <w:szCs w:val="21"/>
                <w14:textFill>
                  <w14:solidFill>
                    <w14:schemeClr w14:val="tx1"/>
                  </w14:solidFill>
                </w14:textFill>
              </w:rPr>
            </w:pPr>
          </w:p>
        </w:tc>
        <w:tc>
          <w:tcPr>
            <w:tcW w:w="1597" w:type="dxa"/>
            <w:vAlign w:val="center"/>
          </w:tcPr>
          <w:p>
            <w:pPr>
              <w:jc w:val="center"/>
              <w:rPr>
                <w:rFonts w:ascii="宋体" w:hAnsi="宋体" w:eastAsia="宋体" w:cs="宋体"/>
                <w:color w:val="000000" w:themeColor="text1"/>
                <w:szCs w:val="21"/>
                <w14:textFill>
                  <w14:solidFill>
                    <w14:schemeClr w14:val="tx1"/>
                  </w14:solidFill>
                </w14:textFill>
              </w:rPr>
            </w:pPr>
          </w:p>
        </w:tc>
        <w:tc>
          <w:tcPr>
            <w:tcW w:w="1593" w:type="dxa"/>
            <w:vAlign w:val="center"/>
          </w:tcPr>
          <w:p>
            <w:pPr>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8526" w:type="dxa"/>
            <w:gridSpan w:val="7"/>
            <w:vAlign w:val="center"/>
          </w:tcPr>
          <w:p>
            <w:pPr>
              <w:ind w:firstLine="422"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总计</w:t>
            </w:r>
            <w:r>
              <w:rPr>
                <w:rFonts w:hint="eastAsia" w:ascii="宋体" w:hAnsi="宋体" w:eastAsia="宋体" w:cs="宋体"/>
                <w:color w:val="000000" w:themeColor="text1"/>
                <w:szCs w:val="21"/>
                <w14:textFill>
                  <w14:solidFill>
                    <w14:schemeClr w14:val="tx1"/>
                  </w14:solidFill>
                </w14:textFill>
              </w:rPr>
              <w:t xml:space="preserve">  小写：                   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8526" w:type="dxa"/>
            <w:gridSpan w:val="7"/>
            <w:vAlign w:val="center"/>
          </w:tcPr>
          <w:p>
            <w:pP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小型/微型企业产品/服务费用合计：</w:t>
            </w:r>
          </w:p>
        </w:tc>
      </w:tr>
    </w:tbl>
    <w:p>
      <w:pPr>
        <w:spacing w:before="312" w:beforeLines="100"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注明：</w:t>
      </w:r>
    </w:p>
    <w:p>
      <w:pPr>
        <w:pStyle w:val="29"/>
        <w:numPr>
          <w:ilvl w:val="0"/>
          <w:numId w:val="46"/>
        </w:numPr>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此表为报价总表的明细表。</w:t>
      </w:r>
    </w:p>
    <w:p>
      <w:pPr>
        <w:pStyle w:val="29"/>
        <w:numPr>
          <w:ilvl w:val="0"/>
          <w:numId w:val="46"/>
        </w:numPr>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如果单价和总价不符时，以单价为准，修正总价。</w:t>
      </w:r>
    </w:p>
    <w:p>
      <w:pPr>
        <w:pStyle w:val="29"/>
        <w:numPr>
          <w:ilvl w:val="0"/>
          <w:numId w:val="46"/>
        </w:numPr>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投标人应列明按“用户需求”所要求提供的所有报价项的价格明细。</w:t>
      </w:r>
    </w:p>
    <w:p>
      <w:pPr>
        <w:pStyle w:val="29"/>
        <w:numPr>
          <w:ilvl w:val="0"/>
          <w:numId w:val="46"/>
        </w:numPr>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此表的</w:t>
      </w:r>
      <w:r>
        <w:rPr>
          <w:rFonts w:hint="eastAsia" w:ascii="宋体" w:hAnsi="宋体" w:eastAsia="宋体" w:cs="宋体"/>
          <w:color w:val="000000" w:themeColor="text1"/>
          <w:szCs w:val="21"/>
          <w14:textFill>
            <w14:solidFill>
              <w14:schemeClr w14:val="tx1"/>
            </w14:solidFill>
          </w14:textFill>
        </w:rPr>
        <w:t>小微企业产品</w:t>
      </w:r>
      <w:r>
        <w:rPr>
          <w:rFonts w:hint="eastAsia" w:ascii="宋体" w:hAnsi="宋体" w:eastAsia="宋体" w:cs="宋体"/>
          <w:color w:val="000000" w:themeColor="text1"/>
          <w:szCs w:val="21"/>
          <w:lang w:val="en-US" w:eastAsia="zh-CN"/>
          <w14:textFill>
            <w14:solidFill>
              <w14:schemeClr w14:val="tx1"/>
            </w14:solidFill>
          </w14:textFill>
        </w:rPr>
        <w:t>和</w:t>
      </w:r>
      <w:r>
        <w:rPr>
          <w:rFonts w:hint="eastAsia" w:ascii="宋体" w:hAnsi="宋体" w:eastAsia="宋体" w:cs="宋体"/>
          <w:color w:val="000000" w:themeColor="text1"/>
          <w:szCs w:val="21"/>
          <w14:textFill>
            <w14:solidFill>
              <w14:schemeClr w14:val="tx1"/>
            </w14:solidFill>
          </w14:textFill>
        </w:rPr>
        <w:t>服务</w:t>
      </w:r>
      <w:r>
        <w:rPr>
          <w:rFonts w:hint="eastAsia" w:ascii="宋体" w:hAnsi="宋体" w:eastAsia="宋体" w:cs="宋体"/>
          <w:color w:val="000000" w:themeColor="text1"/>
          <w:szCs w:val="21"/>
          <w:lang w:val="en-US" w:eastAsia="zh-CN"/>
          <w14:textFill>
            <w14:solidFill>
              <w14:schemeClr w14:val="tx1"/>
            </w14:solidFill>
          </w14:textFill>
        </w:rPr>
        <w:t>相关信息未填报，</w:t>
      </w:r>
      <w:r>
        <w:rPr>
          <w:rFonts w:hint="eastAsia" w:ascii="宋体" w:hAnsi="宋体" w:eastAsia="宋体" w:cs="宋体"/>
          <w:color w:val="000000" w:themeColor="text1"/>
          <w:szCs w:val="21"/>
          <w14:textFill>
            <w14:solidFill>
              <w14:schemeClr w14:val="tx1"/>
            </w14:solidFill>
          </w14:textFill>
        </w:rPr>
        <w:t>视为未提供处理。</w:t>
      </w:r>
    </w:p>
    <w:p>
      <w:pPr>
        <w:spacing w:line="360" w:lineRule="auto"/>
        <w:rPr>
          <w:rFonts w:ascii="宋体" w:hAnsi="宋体" w:eastAsia="宋体" w:cs="宋体"/>
          <w:color w:val="000000" w:themeColor="text1"/>
          <w:szCs w:val="21"/>
          <w14:textFill>
            <w14:solidFill>
              <w14:schemeClr w14:val="tx1"/>
            </w14:solidFill>
          </w14:textFill>
        </w:rPr>
      </w:pPr>
    </w:p>
    <w:tbl>
      <w:tblPr>
        <w:tblStyle w:val="21"/>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53"/>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overflowPunct w:val="0"/>
              <w:adjustRightIn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投标人名称（加盖公章）：</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年           月            日</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bl>
    <w:p>
      <w:pPr>
        <w:pStyle w:val="4"/>
        <w:keepNext w:val="0"/>
        <w:keepLines w:val="0"/>
        <w:pageBreakBefore/>
        <w:spacing w:line="415" w:lineRule="auto"/>
        <w:jc w:val="left"/>
        <w:rPr>
          <w:rStyle w:val="23"/>
          <w:rFonts w:ascii="宋体" w:hAnsi="宋体" w:eastAsia="宋体" w:cs="宋体"/>
          <w:b/>
          <w:bCs w:val="0"/>
          <w:color w:val="000000" w:themeColor="text1"/>
          <w:spacing w:val="12"/>
          <w:sz w:val="21"/>
          <w:szCs w:val="21"/>
          <w14:textFill>
            <w14:solidFill>
              <w14:schemeClr w14:val="tx1"/>
            </w14:solidFill>
          </w14:textFill>
        </w:rPr>
      </w:pPr>
      <w:bookmarkStart w:id="125" w:name="_Toc405313960"/>
      <w:bookmarkStart w:id="126" w:name="_Toc7976"/>
      <w:bookmarkStart w:id="127" w:name="_Toc391627756"/>
      <w:r>
        <w:rPr>
          <w:rStyle w:val="23"/>
          <w:rFonts w:hint="eastAsia" w:ascii="宋体" w:hAnsi="宋体" w:eastAsia="宋体" w:cs="宋体"/>
          <w:b/>
          <w:bCs w:val="0"/>
          <w:color w:val="000000" w:themeColor="text1"/>
          <w:spacing w:val="12"/>
          <w:sz w:val="21"/>
          <w:szCs w:val="21"/>
          <w14:textFill>
            <w14:solidFill>
              <w14:schemeClr w14:val="tx1"/>
            </w14:solidFill>
          </w14:textFill>
        </w:rPr>
        <w:t>附件1-3  中小企业声明函（如需）</w:t>
      </w:r>
      <w:bookmarkEnd w:id="125"/>
      <w:bookmarkEnd w:id="126"/>
      <w:bookmarkEnd w:id="127"/>
    </w:p>
    <w:p>
      <w:pPr>
        <w:spacing w:before="312" w:beforeLines="100" w:after="312" w:afterLines="100" w:line="360" w:lineRule="auto"/>
        <w:jc w:val="center"/>
        <w:rPr>
          <w:rFonts w:ascii="宋体" w:hAnsi="宋体" w:eastAsia="宋体" w:cs="宋体"/>
          <w:b/>
          <w:color w:val="000000" w:themeColor="text1"/>
          <w:spacing w:val="20"/>
          <w:sz w:val="28"/>
          <w:szCs w:val="28"/>
          <w14:textFill>
            <w14:solidFill>
              <w14:schemeClr w14:val="tx1"/>
            </w14:solidFill>
          </w14:textFill>
        </w:rPr>
      </w:pPr>
      <w:r>
        <w:rPr>
          <w:rFonts w:hint="eastAsia" w:ascii="宋体" w:hAnsi="宋体" w:eastAsia="宋体" w:cs="宋体"/>
          <w:b/>
          <w:color w:val="000000" w:themeColor="text1"/>
          <w:spacing w:val="20"/>
          <w:sz w:val="28"/>
          <w:szCs w:val="28"/>
          <w14:textFill>
            <w14:solidFill>
              <w14:schemeClr w14:val="tx1"/>
            </w14:solidFill>
          </w14:textFill>
        </w:rPr>
        <w:t>中小企业声明函</w:t>
      </w:r>
    </w:p>
    <w:p>
      <w:pPr>
        <w:spacing w:line="360" w:lineRule="auto"/>
        <w:ind w:firstLine="424" w:firstLineChars="202"/>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本公司郑重声明，根据《政府采购促进中小企业发展暂行办法》（财库[2011]181号的规定，本公司为（请填写：中型、小型、微型）企业。即，本公司同时满足以下条件：</w:t>
      </w:r>
    </w:p>
    <w:p>
      <w:pPr>
        <w:numPr>
          <w:ilvl w:val="0"/>
          <w:numId w:val="47"/>
        </w:numPr>
        <w:spacing w:line="360" w:lineRule="auto"/>
        <w:rPr>
          <w:rFonts w:ascii="宋体" w:hAnsi="宋体" w:eastAsia="宋体" w:cs="宋体"/>
          <w:color w:val="000000" w:themeColor="text1"/>
          <w:spacing w:val="4"/>
          <w:szCs w:val="21"/>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根据《工业和信息化部、国家统计局、国家发展和改革委员会、财政部关于印发中小企业划型标准规定的通知》(工信部联企业[2011]300号)规定的划分标准，第四条第______项______行业，本公司</w:t>
      </w:r>
      <w:r>
        <w:rPr>
          <w:rFonts w:hint="eastAsia" w:ascii="宋体" w:hAnsi="宋体" w:eastAsia="宋体" w:cs="宋体"/>
          <w:color w:val="000000" w:themeColor="text1"/>
          <w:spacing w:val="4"/>
          <w:szCs w:val="21"/>
          <w:u w:val="single"/>
          <w14:textFill>
            <w14:solidFill>
              <w14:schemeClr w14:val="tx1"/>
            </w14:solidFill>
          </w14:textFill>
        </w:rPr>
        <w:t>（此处填写从业人员或营业收入的具体数据）</w:t>
      </w:r>
      <w:r>
        <w:rPr>
          <w:rFonts w:hint="eastAsia" w:ascii="宋体" w:hAnsi="宋体" w:eastAsia="宋体" w:cs="宋体"/>
          <w:color w:val="000000" w:themeColor="text1"/>
          <w:spacing w:val="4"/>
          <w:szCs w:val="21"/>
          <w14:textFill>
            <w14:solidFill>
              <w14:schemeClr w14:val="tx1"/>
            </w14:solidFill>
          </w14:textFill>
        </w:rPr>
        <w:t>，本公司为（请填写：中型、小型、微型）企业。</w:t>
      </w:r>
    </w:p>
    <w:p>
      <w:pPr>
        <w:numPr>
          <w:ilvl w:val="0"/>
          <w:numId w:val="47"/>
        </w:numPr>
        <w:spacing w:line="360" w:lineRule="auto"/>
        <w:rPr>
          <w:rFonts w:ascii="宋体" w:hAnsi="宋体" w:eastAsia="宋体" w:cs="宋体"/>
          <w:color w:val="000000" w:themeColor="text1"/>
          <w:spacing w:val="4"/>
          <w:szCs w:val="21"/>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本公司参加</w:t>
      </w:r>
      <w:r>
        <w:rPr>
          <w:rFonts w:hint="eastAsia" w:ascii="宋体" w:hAnsi="宋体" w:eastAsia="宋体" w:cs="宋体"/>
          <w:i/>
          <w:color w:val="000000" w:themeColor="text1"/>
          <w:spacing w:val="4"/>
          <w:szCs w:val="21"/>
          <w:u w:val="single"/>
          <w:lang w:eastAsia="zh-CN"/>
          <w14:textFill>
            <w14:solidFill>
              <w14:schemeClr w14:val="tx1"/>
            </w14:solidFill>
          </w14:textFill>
        </w:rPr>
        <w:t>东莞市纺织服装学校</w:t>
      </w:r>
      <w:r>
        <w:rPr>
          <w:rFonts w:hint="eastAsia" w:ascii="宋体" w:hAnsi="宋体" w:eastAsia="宋体" w:cs="宋体"/>
          <w:color w:val="000000" w:themeColor="text1"/>
          <w:spacing w:val="4"/>
          <w:szCs w:val="21"/>
          <w14:textFill>
            <w14:solidFill>
              <w14:schemeClr w14:val="tx1"/>
            </w14:solidFill>
          </w14:textFill>
        </w:rPr>
        <w:t>单位的</w:t>
      </w:r>
      <w:r>
        <w:rPr>
          <w:rFonts w:hint="eastAsia" w:ascii="宋体" w:hAnsi="宋体" w:eastAsia="宋体" w:cs="宋体"/>
          <w:i/>
          <w:color w:val="000000" w:themeColor="text1"/>
          <w:spacing w:val="4"/>
          <w:szCs w:val="21"/>
          <w:u w:val="single"/>
          <w14:textFill>
            <w14:solidFill>
              <w14:schemeClr w14:val="tx1"/>
            </w14:solidFill>
          </w14:textFill>
        </w:rPr>
        <w:t xml:space="preserve">    （项目名称）    </w:t>
      </w:r>
      <w:r>
        <w:rPr>
          <w:rFonts w:hint="eastAsia" w:ascii="宋体" w:hAnsi="宋体" w:eastAsia="宋体" w:cs="宋体"/>
          <w:color w:val="000000" w:themeColor="text1"/>
          <w:spacing w:val="4"/>
          <w:szCs w:val="21"/>
          <w14:textFill>
            <w14:solidFill>
              <w14:schemeClr w14:val="tx1"/>
            </w14:solidFill>
          </w14:textFill>
        </w:rPr>
        <w:t>项目采购活动提供本企业制造的货物，由本企业承担工程、提供服务、或者提供其他（请填写：中型、小型、微型）企业制造的货物。本条所称货物不包括使用大型企业注册商标的货物。</w:t>
      </w:r>
    </w:p>
    <w:p>
      <w:pPr>
        <w:spacing w:line="360" w:lineRule="auto"/>
        <w:ind w:firstLine="420" w:firstLineChars="2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本公司对上述声明的真实性负责。如有虚假，将依法承担相应责任。</w:t>
      </w:r>
    </w:p>
    <w:p>
      <w:pPr>
        <w:spacing w:line="360" w:lineRule="auto"/>
        <w:rPr>
          <w:rFonts w:ascii="宋体" w:hAnsi="宋体" w:eastAsia="宋体" w:cs="宋体"/>
          <w:color w:val="000000" w:themeColor="text1"/>
          <w14:textFill>
            <w14:solidFill>
              <w14:schemeClr w14:val="tx1"/>
            </w14:solidFill>
          </w14:textFill>
        </w:rPr>
      </w:pPr>
    </w:p>
    <w:p>
      <w:pPr>
        <w:spacing w:line="360" w:lineRule="auto"/>
        <w:ind w:left="420" w:hanging="420" w:hanging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注：1）中小微企业投标应提供《中小企业声明函》；提供其他中小微企业制造的货物的，应同时提供制造商的《中小企业声明函（制造商）》。</w:t>
      </w:r>
    </w:p>
    <w:p>
      <w:pPr>
        <w:spacing w:line="360" w:lineRule="auto"/>
        <w:ind w:left="420" w:leftChars="2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r>
        <w:rPr>
          <w:rFonts w:hint="eastAsia" w:ascii="宋体" w:hAnsi="宋体" w:eastAsia="宋体" w:cs="宋体"/>
          <w:bCs/>
          <w:color w:val="000000" w:themeColor="text1"/>
          <w:szCs w:val="21"/>
          <w14:textFill>
            <w14:solidFill>
              <w14:schemeClr w14:val="tx1"/>
            </w14:solidFill>
          </w14:textFill>
        </w:rPr>
        <w:t>根据《关于政府采购支持监狱企业发展有关问题的通知》（财库[2014]68号）的规定</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bCs/>
          <w:color w:val="000000" w:themeColor="text1"/>
          <w:szCs w:val="21"/>
          <w14:textFill>
            <w14:solidFill>
              <w14:schemeClr w14:val="tx1"/>
            </w14:solidFill>
          </w14:textFill>
        </w:rPr>
        <w:t>监狱企业视同小型、微型企业</w:t>
      </w:r>
      <w:r>
        <w:rPr>
          <w:rFonts w:hint="eastAsia" w:ascii="宋体" w:hAnsi="宋体" w:eastAsia="宋体" w:cs="宋体"/>
          <w:color w:val="000000" w:themeColor="text1"/>
          <w:szCs w:val="21"/>
          <w14:textFill>
            <w14:solidFill>
              <w14:schemeClr w14:val="tx1"/>
            </w14:solidFill>
          </w14:textFill>
        </w:rPr>
        <w:t>，监狱企业投标的需提供由省级以上监狱管理局、戒毒管理局(含新疆生产建设兵团)出具的属于监狱企业的证明文件，不再提供《中小企业声明函》。</w:t>
      </w:r>
    </w:p>
    <w:p>
      <w:pPr>
        <w:rPr>
          <w:rStyle w:val="23"/>
          <w:rFonts w:ascii="宋体" w:hAnsi="宋体" w:eastAsia="宋体" w:cs="宋体"/>
          <w:bCs w:val="0"/>
          <w:color w:val="000000" w:themeColor="text1"/>
          <w:spacing w:val="12"/>
          <w:szCs w:val="21"/>
          <w14:textFill>
            <w14:solidFill>
              <w14:schemeClr w14:val="tx1"/>
            </w14:solidFill>
          </w14:textFill>
        </w:rPr>
      </w:pPr>
    </w:p>
    <w:p>
      <w:pPr>
        <w:rPr>
          <w:rStyle w:val="23"/>
          <w:rFonts w:ascii="宋体" w:hAnsi="宋体" w:eastAsia="宋体" w:cs="宋体"/>
          <w:bCs w:val="0"/>
          <w:color w:val="000000" w:themeColor="text1"/>
          <w:spacing w:val="12"/>
          <w:szCs w:val="21"/>
          <w14:textFill>
            <w14:solidFill>
              <w14:schemeClr w14:val="tx1"/>
            </w14:solidFill>
          </w14:textFill>
        </w:rPr>
      </w:pPr>
    </w:p>
    <w:tbl>
      <w:tblPr>
        <w:tblStyle w:val="21"/>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53"/>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overflowPunct w:val="0"/>
              <w:adjustRightIn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投标人名称（加盖公章）：</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年           月            日</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bl>
    <w:p>
      <w:pPr>
        <w:rPr>
          <w:rStyle w:val="23"/>
          <w:rFonts w:ascii="宋体" w:hAnsi="宋体" w:eastAsia="宋体" w:cs="宋体"/>
          <w:bCs w:val="0"/>
          <w:color w:val="000000" w:themeColor="text1"/>
          <w:spacing w:val="12"/>
          <w:szCs w:val="21"/>
          <w14:textFill>
            <w14:solidFill>
              <w14:schemeClr w14:val="tx1"/>
            </w14:solidFill>
          </w14:textFill>
        </w:rPr>
      </w:pPr>
    </w:p>
    <w:p>
      <w:pPr>
        <w:rPr>
          <w:rStyle w:val="23"/>
          <w:rFonts w:ascii="宋体" w:hAnsi="宋体" w:eastAsia="宋体" w:cs="宋体"/>
          <w:bCs w:val="0"/>
          <w:color w:val="000000" w:themeColor="text1"/>
          <w:spacing w:val="12"/>
          <w:szCs w:val="21"/>
          <w14:textFill>
            <w14:solidFill>
              <w14:schemeClr w14:val="tx1"/>
            </w14:solidFill>
          </w14:textFill>
        </w:rPr>
      </w:pPr>
    </w:p>
    <w:p>
      <w:pPr>
        <w:rPr>
          <w:rStyle w:val="23"/>
          <w:rFonts w:ascii="宋体" w:hAnsi="宋体" w:eastAsia="宋体" w:cs="宋体"/>
          <w:bCs w:val="0"/>
          <w:color w:val="000000" w:themeColor="text1"/>
          <w:spacing w:val="12"/>
          <w:szCs w:val="21"/>
          <w14:textFill>
            <w14:solidFill>
              <w14:schemeClr w14:val="tx1"/>
            </w14:solidFill>
          </w14:textFill>
        </w:rPr>
      </w:pPr>
    </w:p>
    <w:p>
      <w:pPr>
        <w:rPr>
          <w:rStyle w:val="23"/>
          <w:rFonts w:ascii="宋体" w:hAnsi="宋体" w:eastAsia="宋体" w:cs="宋体"/>
          <w:bCs w:val="0"/>
          <w:color w:val="000000" w:themeColor="text1"/>
          <w:spacing w:val="12"/>
          <w:szCs w:val="21"/>
          <w14:textFill>
            <w14:solidFill>
              <w14:schemeClr w14:val="tx1"/>
            </w14:solidFill>
          </w14:textFill>
        </w:rPr>
      </w:pPr>
    </w:p>
    <w:p>
      <w:pPr>
        <w:pStyle w:val="4"/>
        <w:keepNext w:val="0"/>
        <w:keepLines w:val="0"/>
        <w:pageBreakBefore/>
        <w:spacing w:line="415" w:lineRule="auto"/>
        <w:jc w:val="left"/>
        <w:rPr>
          <w:rStyle w:val="23"/>
          <w:rFonts w:ascii="宋体" w:hAnsi="宋体" w:eastAsia="宋体" w:cs="宋体"/>
          <w:b/>
          <w:bCs w:val="0"/>
          <w:color w:val="000000" w:themeColor="text1"/>
          <w:spacing w:val="12"/>
          <w:sz w:val="21"/>
          <w:szCs w:val="21"/>
          <w14:textFill>
            <w14:solidFill>
              <w14:schemeClr w14:val="tx1"/>
            </w14:solidFill>
          </w14:textFill>
        </w:rPr>
      </w:pPr>
      <w:bookmarkStart w:id="128" w:name="_Toc29759"/>
      <w:r>
        <w:rPr>
          <w:rStyle w:val="23"/>
          <w:rFonts w:hint="eastAsia" w:ascii="宋体" w:hAnsi="宋体" w:eastAsia="宋体" w:cs="宋体"/>
          <w:b/>
          <w:bCs w:val="0"/>
          <w:color w:val="000000" w:themeColor="text1"/>
          <w:spacing w:val="12"/>
          <w:sz w:val="21"/>
          <w:szCs w:val="21"/>
          <w14:textFill>
            <w14:solidFill>
              <w14:schemeClr w14:val="tx1"/>
            </w14:solidFill>
          </w14:textFill>
        </w:rPr>
        <w:t>附件1-4  残疾人福利性单位声明函（如需）</w:t>
      </w:r>
      <w:bookmarkEnd w:id="128"/>
    </w:p>
    <w:p>
      <w:pPr>
        <w:spacing w:before="312" w:beforeLines="100" w:after="312" w:afterLines="100" w:line="360" w:lineRule="auto"/>
        <w:jc w:val="center"/>
        <w:rPr>
          <w:rFonts w:ascii="宋体" w:hAnsi="宋体" w:eastAsia="宋体" w:cs="宋体"/>
          <w:b/>
          <w:color w:val="000000" w:themeColor="text1"/>
          <w:spacing w:val="20"/>
          <w:sz w:val="28"/>
          <w:szCs w:val="28"/>
          <w14:textFill>
            <w14:solidFill>
              <w14:schemeClr w14:val="tx1"/>
            </w14:solidFill>
          </w14:textFill>
        </w:rPr>
      </w:pPr>
      <w:r>
        <w:rPr>
          <w:rFonts w:hint="eastAsia" w:ascii="宋体" w:hAnsi="宋体" w:eastAsia="宋体" w:cs="宋体"/>
          <w:b/>
          <w:color w:val="000000" w:themeColor="text1"/>
          <w:spacing w:val="20"/>
          <w:sz w:val="28"/>
          <w:szCs w:val="28"/>
          <w14:textFill>
            <w14:solidFill>
              <w14:schemeClr w14:val="tx1"/>
            </w14:solidFill>
          </w14:textFill>
        </w:rPr>
        <w:t>残疾人福利性单位声明函</w:t>
      </w:r>
    </w:p>
    <w:p>
      <w:pPr>
        <w:spacing w:line="480" w:lineRule="auto"/>
        <w:ind w:firstLine="630" w:firstLineChars="3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420" w:firstLineChars="2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本单位对上述声明的真实性负责。如有虚假，将依法承担相应责任。</w:t>
      </w:r>
    </w:p>
    <w:p>
      <w:pPr>
        <w:spacing w:line="360" w:lineRule="auto"/>
        <w:rPr>
          <w:rFonts w:ascii="宋体" w:hAnsi="宋体" w:eastAsia="宋体" w:cs="宋体"/>
          <w:color w:val="000000" w:themeColor="text1"/>
          <w14:textFill>
            <w14:solidFill>
              <w14:schemeClr w14:val="tx1"/>
            </w14:solidFill>
          </w14:textFill>
        </w:rPr>
      </w:pPr>
    </w:p>
    <w:tbl>
      <w:tblPr>
        <w:tblStyle w:val="20"/>
        <w:tblW w:w="8528" w:type="dxa"/>
        <w:tblInd w:w="0" w:type="dxa"/>
        <w:tblLayout w:type="fixed"/>
        <w:tblCellMar>
          <w:top w:w="0" w:type="dxa"/>
          <w:left w:w="108" w:type="dxa"/>
          <w:bottom w:w="0" w:type="dxa"/>
          <w:right w:w="108" w:type="dxa"/>
        </w:tblCellMar>
      </w:tblPr>
      <w:tblGrid>
        <w:gridCol w:w="5353"/>
        <w:gridCol w:w="3175"/>
      </w:tblGrid>
      <w:tr>
        <w:tblPrEx>
          <w:tblLayout w:type="fixed"/>
          <w:tblCellMar>
            <w:top w:w="0" w:type="dxa"/>
            <w:left w:w="108" w:type="dxa"/>
            <w:bottom w:w="0" w:type="dxa"/>
            <w:right w:w="108" w:type="dxa"/>
          </w:tblCellMar>
        </w:tblPrEx>
        <w:tc>
          <w:tcPr>
            <w:tcW w:w="5353" w:type="dxa"/>
            <w:shd w:val="clear" w:color="auto" w:fill="auto"/>
          </w:tcPr>
          <w:p>
            <w:pPr>
              <w:overflowPunct w:val="0"/>
              <w:adjustRightIn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投标人名称（加盖公章）：</w:t>
            </w:r>
          </w:p>
        </w:tc>
        <w:tc>
          <w:tcPr>
            <w:tcW w:w="3175" w:type="dxa"/>
            <w:shd w:val="clear" w:color="auto" w:fill="auto"/>
          </w:tcPr>
          <w:p>
            <w:pPr>
              <w:spacing w:line="360" w:lineRule="auto"/>
              <w:rPr>
                <w:rFonts w:ascii="宋体" w:hAnsi="宋体" w:eastAsia="宋体" w:cs="宋体"/>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c>
          <w:tcPr>
            <w:tcW w:w="5353" w:type="dxa"/>
            <w:shd w:val="clear" w:color="auto" w:fill="auto"/>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年           月            日</w:t>
            </w:r>
          </w:p>
        </w:tc>
        <w:tc>
          <w:tcPr>
            <w:tcW w:w="3175" w:type="dxa"/>
            <w:shd w:val="clear" w:color="auto" w:fill="auto"/>
          </w:tcPr>
          <w:p>
            <w:pPr>
              <w:spacing w:line="360" w:lineRule="auto"/>
              <w:rPr>
                <w:rFonts w:ascii="宋体" w:hAnsi="宋体" w:eastAsia="宋体" w:cs="宋体"/>
                <w:color w:val="000000" w:themeColor="text1"/>
                <w:szCs w:val="21"/>
                <w14:textFill>
                  <w14:solidFill>
                    <w14:schemeClr w14:val="tx1"/>
                  </w14:solidFill>
                </w14:textFill>
              </w:rPr>
            </w:pPr>
          </w:p>
        </w:tc>
      </w:tr>
    </w:tbl>
    <w:p>
      <w:pPr>
        <w:rPr>
          <w:rFonts w:ascii="宋体" w:hAnsi="宋体" w:eastAsia="宋体" w:cs="宋体"/>
          <w:color w:val="000000" w:themeColor="text1"/>
          <w14:textFill>
            <w14:solidFill>
              <w14:schemeClr w14:val="tx1"/>
            </w14:solidFill>
          </w14:textFill>
        </w:rPr>
      </w:pPr>
    </w:p>
    <w:p>
      <w:pPr>
        <w:rPr>
          <w:rStyle w:val="23"/>
          <w:rFonts w:ascii="宋体" w:hAnsi="宋体" w:eastAsia="宋体" w:cs="宋体"/>
          <w:bCs w:val="0"/>
          <w:color w:val="000000" w:themeColor="text1"/>
          <w:spacing w:val="12"/>
          <w:szCs w:val="21"/>
          <w14:textFill>
            <w14:solidFill>
              <w14:schemeClr w14:val="tx1"/>
            </w14:solidFill>
          </w14:textFill>
        </w:rPr>
      </w:pPr>
    </w:p>
    <w:p>
      <w:pPr>
        <w:rPr>
          <w:rStyle w:val="23"/>
          <w:rFonts w:ascii="宋体" w:hAnsi="宋体" w:eastAsia="宋体" w:cs="宋体"/>
          <w:bCs w:val="0"/>
          <w:color w:val="000000" w:themeColor="text1"/>
          <w:spacing w:val="12"/>
          <w:szCs w:val="21"/>
          <w14:textFill>
            <w14:solidFill>
              <w14:schemeClr w14:val="tx1"/>
            </w14:solidFill>
          </w14:textFill>
        </w:rPr>
      </w:pPr>
    </w:p>
    <w:p>
      <w:pPr>
        <w:pStyle w:val="4"/>
        <w:keepNext w:val="0"/>
        <w:keepLines w:val="0"/>
        <w:pageBreakBefore/>
        <w:spacing w:line="415" w:lineRule="auto"/>
        <w:jc w:val="left"/>
        <w:rPr>
          <w:rStyle w:val="23"/>
          <w:rFonts w:ascii="宋体" w:hAnsi="宋体" w:eastAsia="宋体" w:cs="宋体"/>
          <w:b/>
          <w:bCs w:val="0"/>
          <w:color w:val="000000" w:themeColor="text1"/>
          <w:spacing w:val="12"/>
          <w:sz w:val="21"/>
          <w:szCs w:val="21"/>
          <w14:textFill>
            <w14:solidFill>
              <w14:schemeClr w14:val="tx1"/>
            </w14:solidFill>
          </w14:textFill>
        </w:rPr>
      </w:pPr>
      <w:bookmarkStart w:id="129" w:name="_Toc29480"/>
      <w:r>
        <w:rPr>
          <w:rStyle w:val="23"/>
          <w:rFonts w:hint="eastAsia" w:ascii="宋体" w:hAnsi="宋体" w:eastAsia="宋体" w:cs="宋体"/>
          <w:b/>
          <w:bCs w:val="0"/>
          <w:color w:val="000000" w:themeColor="text1"/>
          <w:spacing w:val="12"/>
          <w:sz w:val="21"/>
          <w:szCs w:val="21"/>
          <w14:textFill>
            <w14:solidFill>
              <w14:schemeClr w14:val="tx1"/>
            </w14:solidFill>
          </w14:textFill>
        </w:rPr>
        <w:t>附件1-5  政策适用性说明（如需）</w:t>
      </w:r>
      <w:bookmarkEnd w:id="129"/>
    </w:p>
    <w:p>
      <w:pPr>
        <w:spacing w:before="312" w:beforeLines="100" w:after="312" w:afterLines="100" w:line="360" w:lineRule="auto"/>
        <w:jc w:val="center"/>
        <w:rPr>
          <w:rFonts w:ascii="宋体" w:hAnsi="宋体" w:eastAsia="宋体" w:cs="宋体"/>
          <w:b/>
          <w:color w:val="000000" w:themeColor="text1"/>
          <w:spacing w:val="20"/>
          <w:sz w:val="28"/>
          <w:szCs w:val="28"/>
          <w14:textFill>
            <w14:solidFill>
              <w14:schemeClr w14:val="tx1"/>
            </w14:solidFill>
          </w14:textFill>
        </w:rPr>
      </w:pPr>
      <w:r>
        <w:rPr>
          <w:rFonts w:hint="eastAsia" w:ascii="宋体" w:hAnsi="宋体" w:eastAsia="宋体" w:cs="宋体"/>
          <w:b/>
          <w:color w:val="000000" w:themeColor="text1"/>
          <w:spacing w:val="20"/>
          <w:sz w:val="28"/>
          <w:szCs w:val="28"/>
          <w14:textFill>
            <w14:solidFill>
              <w14:schemeClr w14:val="tx1"/>
            </w14:solidFill>
          </w14:textFill>
        </w:rPr>
        <w:t>政策适用性说明</w:t>
      </w:r>
    </w:p>
    <w:p>
      <w:pPr>
        <w:spacing w:after="156" w:afterLines="50" w:line="360" w:lineRule="auto"/>
        <w:ind w:firstLine="420" w:firstLineChars="200"/>
        <w:rPr>
          <w:rFonts w:ascii="宋体" w:hAnsi="宋体" w:eastAsia="宋体" w:cs="宋体"/>
          <w:bCs/>
          <w:color w:val="000000" w:themeColor="text1"/>
          <w:szCs w:val="21"/>
          <w:lang w:val="zh-CN"/>
          <w14:textFill>
            <w14:solidFill>
              <w14:schemeClr w14:val="tx1"/>
            </w14:solidFill>
          </w14:textFill>
        </w:rPr>
      </w:pPr>
      <w:r>
        <w:rPr>
          <w:rFonts w:hint="eastAsia" w:ascii="宋体" w:hAnsi="宋体" w:eastAsia="宋体" w:cs="宋体"/>
          <w:bCs/>
          <w:color w:val="000000" w:themeColor="text1"/>
          <w:szCs w:val="21"/>
          <w:lang w:val="zh-CN"/>
          <w14:textFill>
            <w14:solidFill>
              <w14:schemeClr w14:val="tx1"/>
            </w14:solidFill>
          </w14:textFill>
        </w:rPr>
        <w:t>按照政府采购有关政策的要求，</w:t>
      </w:r>
      <w:r>
        <w:rPr>
          <w:rFonts w:hint="eastAsia" w:ascii="宋体" w:hAnsi="宋体" w:eastAsia="宋体" w:cs="宋体"/>
          <w:bCs/>
          <w:color w:val="000000" w:themeColor="text1"/>
          <w:szCs w:val="21"/>
          <w14:textFill>
            <w14:solidFill>
              <w14:schemeClr w14:val="tx1"/>
            </w14:solidFill>
          </w14:textFill>
        </w:rPr>
        <w:t>投标人所提供的产品中，属于</w:t>
      </w:r>
      <w:r>
        <w:rPr>
          <w:rFonts w:hint="eastAsia" w:ascii="宋体" w:hAnsi="宋体" w:eastAsia="宋体" w:cs="宋体"/>
          <w:bCs/>
          <w:color w:val="000000" w:themeColor="text1"/>
          <w:szCs w:val="21"/>
          <w:lang w:val="zh-CN"/>
          <w14:textFill>
            <w14:solidFill>
              <w14:schemeClr w14:val="tx1"/>
            </w14:solidFill>
          </w14:textFill>
        </w:rPr>
        <w:t>节能产品、环</w:t>
      </w:r>
      <w:r>
        <w:rPr>
          <w:rFonts w:hint="eastAsia" w:ascii="宋体" w:hAnsi="宋体" w:eastAsia="宋体" w:cs="宋体"/>
          <w:bCs/>
          <w:color w:val="000000" w:themeColor="text1"/>
          <w:szCs w:val="21"/>
          <w14:textFill>
            <w14:solidFill>
              <w14:schemeClr w14:val="tx1"/>
            </w14:solidFill>
          </w14:textFill>
        </w:rPr>
        <w:t>境</w:t>
      </w:r>
      <w:r>
        <w:rPr>
          <w:rFonts w:hint="eastAsia" w:ascii="宋体" w:hAnsi="宋体" w:eastAsia="宋体" w:cs="宋体"/>
          <w:bCs/>
          <w:color w:val="000000" w:themeColor="text1"/>
          <w:szCs w:val="21"/>
          <w:lang w:val="zh-CN"/>
          <w14:textFill>
            <w14:solidFill>
              <w14:schemeClr w14:val="tx1"/>
            </w14:solidFill>
          </w14:textFill>
        </w:rPr>
        <w:t>标志产品</w:t>
      </w:r>
      <w:r>
        <w:rPr>
          <w:rFonts w:hint="eastAsia" w:ascii="宋体" w:hAnsi="宋体" w:eastAsia="宋体" w:cs="宋体"/>
          <w:bCs/>
          <w:color w:val="000000" w:themeColor="text1"/>
          <w:szCs w:val="21"/>
          <w14:textFill>
            <w14:solidFill>
              <w14:schemeClr w14:val="tx1"/>
            </w14:solidFill>
          </w14:textFill>
        </w:rPr>
        <w:t>的</w:t>
      </w:r>
      <w:r>
        <w:rPr>
          <w:rFonts w:hint="eastAsia" w:ascii="宋体" w:hAnsi="宋体" w:eastAsia="宋体" w:cs="宋体"/>
          <w:bCs/>
          <w:color w:val="000000" w:themeColor="text1"/>
          <w:szCs w:val="21"/>
          <w:lang w:val="zh-CN"/>
          <w14:textFill>
            <w14:solidFill>
              <w14:schemeClr w14:val="tx1"/>
            </w14:solidFill>
          </w14:textFill>
        </w:rPr>
        <w:t>，</w:t>
      </w:r>
      <w:r>
        <w:rPr>
          <w:rFonts w:hint="eastAsia" w:ascii="宋体" w:hAnsi="宋体" w:eastAsia="宋体" w:cs="宋体"/>
          <w:bCs/>
          <w:color w:val="000000" w:themeColor="text1"/>
          <w:szCs w:val="21"/>
          <w14:textFill>
            <w14:solidFill>
              <w14:schemeClr w14:val="tx1"/>
            </w14:solidFill>
          </w14:textFill>
        </w:rPr>
        <w:t>在下表列明</w:t>
      </w:r>
      <w:r>
        <w:rPr>
          <w:rFonts w:hint="eastAsia" w:ascii="宋体" w:hAnsi="宋体" w:eastAsia="宋体" w:cs="宋体"/>
          <w:bCs/>
          <w:color w:val="000000" w:themeColor="text1"/>
          <w:szCs w:val="21"/>
          <w:lang w:val="zh-CN"/>
          <w14:textFill>
            <w14:solidFill>
              <w14:schemeClr w14:val="tx1"/>
            </w14:solidFill>
          </w14:textFill>
        </w:rPr>
        <w:t>：</w:t>
      </w:r>
    </w:p>
    <w:tbl>
      <w:tblPr>
        <w:tblStyle w:val="20"/>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
        <w:gridCol w:w="2484"/>
        <w:gridCol w:w="1550"/>
        <w:gridCol w:w="1187"/>
        <w:gridCol w:w="1301"/>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8528" w:type="dxa"/>
            <w:gridSpan w:val="6"/>
            <w:vAlign w:val="center"/>
          </w:tcPr>
          <w:p>
            <w:pPr>
              <w:jc w:val="left"/>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 xml:space="preserve">项目名称：                        </w:t>
            </w:r>
            <w:r>
              <w:rPr>
                <w:rFonts w:hint="eastAsia" w:ascii="宋体" w:hAnsi="宋体" w:eastAsia="宋体" w:cs="宋体"/>
                <w:b/>
                <w:color w:val="000000" w:themeColor="text1"/>
                <w:szCs w:val="21"/>
                <w14:textFill>
                  <w14:solidFill>
                    <w14:schemeClr w14:val="tx1"/>
                  </w14:solidFill>
                </w14:textFill>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393"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r>
              <w:rPr>
                <w:rFonts w:hint="eastAsia" w:ascii="宋体" w:hAnsi="宋体" w:eastAsia="宋体" w:cs="宋体"/>
                <w:color w:val="000000" w:themeColor="text1"/>
                <w:szCs w:val="21"/>
                <w:lang w:val="en-GB"/>
                <w14:textFill>
                  <w14:solidFill>
                    <w14:schemeClr w14:val="tx1"/>
                  </w14:solidFill>
                </w14:textFill>
              </w:rPr>
              <w:t>序号</w:t>
            </w:r>
          </w:p>
        </w:tc>
        <w:tc>
          <w:tcPr>
            <w:tcW w:w="2484"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r>
              <w:rPr>
                <w:rFonts w:hint="eastAsia" w:ascii="宋体" w:hAnsi="宋体" w:eastAsia="宋体" w:cs="宋体"/>
                <w:color w:val="000000" w:themeColor="text1"/>
                <w:szCs w:val="21"/>
                <w:lang w:val="en-GB"/>
                <w14:textFill>
                  <w14:solidFill>
                    <w14:schemeClr w14:val="tx1"/>
                  </w14:solidFill>
                </w14:textFill>
              </w:rPr>
              <w:t>产品名称</w:t>
            </w:r>
          </w:p>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r>
              <w:rPr>
                <w:rFonts w:hint="eastAsia" w:ascii="宋体" w:hAnsi="宋体" w:eastAsia="宋体" w:cs="宋体"/>
                <w:color w:val="000000" w:themeColor="text1"/>
                <w:spacing w:val="-6"/>
                <w:szCs w:val="21"/>
                <w:lang w:val="en-GB"/>
                <w14:textFill>
                  <w14:solidFill>
                    <w14:schemeClr w14:val="tx1"/>
                  </w14:solidFill>
                </w14:textFill>
              </w:rPr>
              <w:t>(规格型号、注册商标)</w:t>
            </w:r>
          </w:p>
        </w:tc>
        <w:tc>
          <w:tcPr>
            <w:tcW w:w="1550"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r>
              <w:rPr>
                <w:rFonts w:hint="eastAsia" w:ascii="宋体" w:hAnsi="宋体" w:eastAsia="宋体" w:cs="宋体"/>
                <w:color w:val="000000" w:themeColor="text1"/>
                <w:szCs w:val="21"/>
                <w:lang w:val="en-GB"/>
                <w14:textFill>
                  <w14:solidFill>
                    <w14:schemeClr w14:val="tx1"/>
                  </w14:solidFill>
                </w14:textFill>
              </w:rPr>
              <w:t>制造商</w:t>
            </w:r>
          </w:p>
        </w:tc>
        <w:tc>
          <w:tcPr>
            <w:tcW w:w="1187"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是否为</w:t>
            </w:r>
            <w:r>
              <w:rPr>
                <w:rFonts w:hint="eastAsia" w:ascii="宋体" w:hAnsi="宋体" w:eastAsia="宋体" w:cs="宋体"/>
                <w:color w:val="000000" w:themeColor="text1"/>
                <w:szCs w:val="21"/>
                <w:lang w:val="en-GB"/>
                <w14:textFill>
                  <w14:solidFill>
                    <w14:schemeClr w14:val="tx1"/>
                  </w14:solidFill>
                </w14:textFill>
              </w:rPr>
              <w:t>节能产品</w:t>
            </w:r>
          </w:p>
        </w:tc>
        <w:tc>
          <w:tcPr>
            <w:tcW w:w="1301"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是否为</w:t>
            </w:r>
            <w:r>
              <w:rPr>
                <w:rFonts w:hint="eastAsia" w:ascii="宋体" w:hAnsi="宋体" w:eastAsia="宋体" w:cs="宋体"/>
                <w:color w:val="000000" w:themeColor="text1"/>
                <w:szCs w:val="21"/>
                <w:lang w:val="en-GB"/>
                <w14:textFill>
                  <w14:solidFill>
                    <w14:schemeClr w14:val="tx1"/>
                  </w14:solidFill>
                </w14:textFill>
              </w:rPr>
              <w:t>环境标志产品</w:t>
            </w:r>
          </w:p>
        </w:tc>
        <w:tc>
          <w:tcPr>
            <w:tcW w:w="1613"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r>
              <w:rPr>
                <w:rFonts w:hint="eastAsia" w:ascii="宋体" w:hAnsi="宋体" w:eastAsia="宋体" w:cs="宋体"/>
                <w:color w:val="000000" w:themeColor="text1"/>
                <w:szCs w:val="21"/>
                <w:lang w:val="en-GB"/>
                <w14:textFill>
                  <w14:solidFill>
                    <w14:schemeClr w14:val="tx1"/>
                  </w14:solidFill>
                </w14:textFill>
              </w:rPr>
              <w:t>该产品报价在总报价中占比(%)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393"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r>
              <w:rPr>
                <w:rFonts w:hint="eastAsia" w:ascii="宋体" w:hAnsi="宋体" w:eastAsia="宋体" w:cs="宋体"/>
                <w:color w:val="000000" w:themeColor="text1"/>
                <w:szCs w:val="21"/>
                <w:lang w:val="en-GB"/>
                <w14:textFill>
                  <w14:solidFill>
                    <w14:schemeClr w14:val="tx1"/>
                  </w14:solidFill>
                </w14:textFill>
              </w:rPr>
              <w:t>1</w:t>
            </w:r>
          </w:p>
        </w:tc>
        <w:tc>
          <w:tcPr>
            <w:tcW w:w="2484"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c>
          <w:tcPr>
            <w:tcW w:w="1550"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c>
          <w:tcPr>
            <w:tcW w:w="1187"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c>
          <w:tcPr>
            <w:tcW w:w="1301"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c>
          <w:tcPr>
            <w:tcW w:w="1613"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393"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r>
              <w:rPr>
                <w:rFonts w:hint="eastAsia" w:ascii="宋体" w:hAnsi="宋体" w:eastAsia="宋体" w:cs="宋体"/>
                <w:color w:val="000000" w:themeColor="text1"/>
                <w:szCs w:val="21"/>
                <w:lang w:val="en-GB"/>
                <w14:textFill>
                  <w14:solidFill>
                    <w14:schemeClr w14:val="tx1"/>
                  </w14:solidFill>
                </w14:textFill>
              </w:rPr>
              <w:t>2</w:t>
            </w:r>
          </w:p>
        </w:tc>
        <w:tc>
          <w:tcPr>
            <w:tcW w:w="2484"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c>
          <w:tcPr>
            <w:tcW w:w="1550"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c>
          <w:tcPr>
            <w:tcW w:w="1187"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c>
          <w:tcPr>
            <w:tcW w:w="1301"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c>
          <w:tcPr>
            <w:tcW w:w="1613"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393"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r>
              <w:rPr>
                <w:rFonts w:hint="eastAsia" w:ascii="宋体" w:hAnsi="宋体" w:eastAsia="宋体" w:cs="宋体"/>
                <w:color w:val="000000" w:themeColor="text1"/>
                <w:szCs w:val="21"/>
                <w:lang w:val="en-GB"/>
                <w14:textFill>
                  <w14:solidFill>
                    <w14:schemeClr w14:val="tx1"/>
                  </w14:solidFill>
                </w14:textFill>
              </w:rPr>
              <w:t>3</w:t>
            </w:r>
          </w:p>
        </w:tc>
        <w:tc>
          <w:tcPr>
            <w:tcW w:w="2484"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c>
          <w:tcPr>
            <w:tcW w:w="1550"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c>
          <w:tcPr>
            <w:tcW w:w="1187"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c>
          <w:tcPr>
            <w:tcW w:w="1301"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c>
          <w:tcPr>
            <w:tcW w:w="1613"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393"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r>
              <w:rPr>
                <w:rFonts w:hint="eastAsia" w:ascii="宋体" w:hAnsi="宋体" w:eastAsia="宋体" w:cs="宋体"/>
                <w:color w:val="000000" w:themeColor="text1"/>
                <w:szCs w:val="21"/>
                <w:lang w:val="en-GB"/>
                <w14:textFill>
                  <w14:solidFill>
                    <w14:schemeClr w14:val="tx1"/>
                  </w14:solidFill>
                </w14:textFill>
              </w:rPr>
              <w:t>4</w:t>
            </w:r>
          </w:p>
        </w:tc>
        <w:tc>
          <w:tcPr>
            <w:tcW w:w="2484"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c>
          <w:tcPr>
            <w:tcW w:w="1550"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c>
          <w:tcPr>
            <w:tcW w:w="1187"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c>
          <w:tcPr>
            <w:tcW w:w="1301"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c>
          <w:tcPr>
            <w:tcW w:w="1613"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393"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r>
              <w:rPr>
                <w:rFonts w:hint="eastAsia" w:ascii="宋体" w:hAnsi="宋体" w:eastAsia="宋体" w:cs="宋体"/>
                <w:color w:val="000000" w:themeColor="text1"/>
                <w:szCs w:val="21"/>
                <w:lang w:val="en-GB"/>
                <w14:textFill>
                  <w14:solidFill>
                    <w14:schemeClr w14:val="tx1"/>
                  </w14:solidFill>
                </w14:textFill>
              </w:rPr>
              <w:t>5</w:t>
            </w:r>
          </w:p>
        </w:tc>
        <w:tc>
          <w:tcPr>
            <w:tcW w:w="2484"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c>
          <w:tcPr>
            <w:tcW w:w="1550"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c>
          <w:tcPr>
            <w:tcW w:w="1187"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c>
          <w:tcPr>
            <w:tcW w:w="1301"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c>
          <w:tcPr>
            <w:tcW w:w="1613"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393"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r>
              <w:rPr>
                <w:rFonts w:hint="eastAsia" w:ascii="宋体" w:hAnsi="宋体" w:eastAsia="宋体" w:cs="宋体"/>
                <w:color w:val="000000" w:themeColor="text1"/>
                <w:szCs w:val="21"/>
                <w:lang w:val="en-GB"/>
                <w14:textFill>
                  <w14:solidFill>
                    <w14:schemeClr w14:val="tx1"/>
                  </w14:solidFill>
                </w14:textFill>
              </w:rPr>
              <w:t>…</w:t>
            </w:r>
          </w:p>
        </w:tc>
        <w:tc>
          <w:tcPr>
            <w:tcW w:w="2484"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c>
          <w:tcPr>
            <w:tcW w:w="1550"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c>
          <w:tcPr>
            <w:tcW w:w="1187"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c>
          <w:tcPr>
            <w:tcW w:w="1301"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c>
          <w:tcPr>
            <w:tcW w:w="1613" w:type="dxa"/>
            <w:vAlign w:val="center"/>
          </w:tcPr>
          <w:p>
            <w:pPr>
              <w:tabs>
                <w:tab w:val="left" w:pos="1260"/>
              </w:tabs>
              <w:ind w:left="-53" w:leftChars="-25" w:right="-53" w:rightChars="-25"/>
              <w:jc w:val="center"/>
              <w:rPr>
                <w:rFonts w:ascii="宋体" w:hAnsi="宋体" w:eastAsia="宋体" w:cs="宋体"/>
                <w:color w:val="000000" w:themeColor="text1"/>
                <w:szCs w:val="21"/>
                <w:lang w:val="en-GB"/>
                <w14:textFill>
                  <w14:solidFill>
                    <w14:schemeClr w14:val="tx1"/>
                  </w14:solidFill>
                </w14:textFill>
              </w:rPr>
            </w:pPr>
          </w:p>
        </w:tc>
      </w:tr>
    </w:tbl>
    <w:p>
      <w:pPr>
        <w:spacing w:before="156" w:beforeLines="50" w:line="360" w:lineRule="auto"/>
        <w:rPr>
          <w:rFonts w:ascii="宋体" w:hAnsi="宋体" w:eastAsia="宋体" w:cs="宋体"/>
          <w:bCs/>
          <w:color w:val="000000" w:themeColor="text1"/>
          <w:szCs w:val="21"/>
          <w:lang w:val="en-GB"/>
          <w14:textFill>
            <w14:solidFill>
              <w14:schemeClr w14:val="tx1"/>
            </w14:solidFill>
          </w14:textFill>
        </w:rPr>
      </w:pPr>
      <w:r>
        <w:rPr>
          <w:rFonts w:hint="eastAsia" w:ascii="宋体" w:hAnsi="宋体" w:eastAsia="宋体" w:cs="宋体"/>
          <w:bCs/>
          <w:color w:val="000000" w:themeColor="text1"/>
          <w:szCs w:val="21"/>
          <w:lang w:val="en-GB"/>
          <w14:textFill>
            <w14:solidFill>
              <w14:schemeClr w14:val="tx1"/>
            </w14:solidFill>
          </w14:textFill>
        </w:rPr>
        <w:t>注明：</w:t>
      </w:r>
    </w:p>
    <w:p>
      <w:pPr>
        <w:pStyle w:val="29"/>
        <w:numPr>
          <w:ilvl w:val="0"/>
          <w:numId w:val="48"/>
        </w:numPr>
        <w:spacing w:line="360" w:lineRule="auto"/>
        <w:ind w:firstLineChars="0"/>
        <w:rPr>
          <w:rFonts w:ascii="宋体" w:hAnsi="宋体" w:eastAsia="宋体" w:cs="宋体"/>
          <w:bCs/>
          <w:color w:val="000000" w:themeColor="text1"/>
          <w:szCs w:val="21"/>
          <w:lang w:val="en-GB"/>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属</w:t>
      </w:r>
      <w:r>
        <w:rPr>
          <w:rFonts w:hint="eastAsia" w:ascii="宋体" w:hAnsi="宋体" w:eastAsia="宋体" w:cs="宋体"/>
          <w:bCs/>
          <w:color w:val="000000" w:themeColor="text1"/>
          <w:szCs w:val="21"/>
          <w:lang w:val="en-GB"/>
          <w14:textFill>
            <w14:solidFill>
              <w14:schemeClr w14:val="tx1"/>
            </w14:solidFill>
          </w14:textFill>
        </w:rPr>
        <w:t>“节能、环</w:t>
      </w:r>
      <w:r>
        <w:rPr>
          <w:rFonts w:hint="eastAsia" w:ascii="宋体" w:hAnsi="宋体" w:eastAsia="宋体" w:cs="宋体"/>
          <w:bCs/>
          <w:color w:val="000000" w:themeColor="text1"/>
          <w:szCs w:val="21"/>
          <w14:textFill>
            <w14:solidFill>
              <w14:schemeClr w14:val="tx1"/>
            </w14:solidFill>
          </w14:textFill>
        </w:rPr>
        <w:t>境</w:t>
      </w:r>
      <w:r>
        <w:rPr>
          <w:rFonts w:hint="eastAsia" w:ascii="宋体" w:hAnsi="宋体" w:eastAsia="宋体" w:cs="宋体"/>
          <w:bCs/>
          <w:color w:val="000000" w:themeColor="text1"/>
          <w:szCs w:val="21"/>
          <w:lang w:val="en-GB"/>
          <w14:textFill>
            <w14:solidFill>
              <w14:schemeClr w14:val="tx1"/>
            </w14:solidFill>
          </w14:textFill>
        </w:rPr>
        <w:t>标志产品”</w:t>
      </w:r>
      <w:r>
        <w:rPr>
          <w:rFonts w:hint="eastAsia" w:ascii="宋体" w:hAnsi="宋体" w:eastAsia="宋体" w:cs="宋体"/>
          <w:bCs/>
          <w:color w:val="000000" w:themeColor="text1"/>
          <w:szCs w:val="21"/>
          <w14:textFill>
            <w14:solidFill>
              <w14:schemeClr w14:val="tx1"/>
            </w14:solidFill>
          </w14:textFill>
        </w:rPr>
        <w:t>品目清单中</w:t>
      </w:r>
      <w:r>
        <w:rPr>
          <w:rFonts w:hint="eastAsia" w:ascii="宋体" w:hAnsi="宋体" w:eastAsia="宋体" w:cs="宋体"/>
          <w:bCs/>
          <w:color w:val="000000" w:themeColor="text1"/>
          <w:szCs w:val="21"/>
          <w:lang w:val="en-GB"/>
          <w14:textFill>
            <w14:solidFill>
              <w14:schemeClr w14:val="tx1"/>
            </w14:solidFill>
          </w14:textFill>
        </w:rPr>
        <w:t>的产品，</w:t>
      </w:r>
      <w:r>
        <w:rPr>
          <w:rFonts w:hint="eastAsia" w:ascii="宋体" w:hAnsi="宋体" w:eastAsia="宋体" w:cs="宋体"/>
          <w:bCs/>
          <w:color w:val="000000" w:themeColor="text1"/>
          <w:szCs w:val="21"/>
          <w14:textFill>
            <w14:solidFill>
              <w14:schemeClr w14:val="tx1"/>
            </w14:solidFill>
          </w14:textFill>
        </w:rPr>
        <w:t>提供</w:t>
      </w:r>
      <w:r>
        <w:rPr>
          <w:rFonts w:hint="eastAsia" w:ascii="宋体" w:hAnsi="宋体" w:eastAsia="宋体" w:cs="宋体"/>
          <w:bCs/>
          <w:color w:val="000000" w:themeColor="text1"/>
          <w:spacing w:val="4"/>
          <w:szCs w:val="21"/>
          <w:lang w:val="en-GB"/>
          <w14:textFill>
            <w14:solidFill>
              <w14:schemeClr w14:val="tx1"/>
            </w14:solidFill>
          </w14:textFill>
        </w:rPr>
        <w:t>在中国政府采购网（</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"http://www.ccgp.gov.cn/" </w:instrText>
      </w:r>
      <w:r>
        <w:rPr>
          <w:color w:val="000000" w:themeColor="text1"/>
          <w14:textFill>
            <w14:solidFill>
              <w14:schemeClr w14:val="tx1"/>
            </w14:solidFill>
          </w14:textFill>
        </w:rPr>
        <w:fldChar w:fldCharType="separate"/>
      </w:r>
      <w:r>
        <w:rPr>
          <w:rStyle w:val="26"/>
          <w:rFonts w:hint="eastAsia" w:ascii="宋体" w:hAnsi="宋体" w:eastAsia="宋体" w:cs="宋体"/>
          <w:bCs/>
          <w:color w:val="000000" w:themeColor="text1"/>
          <w:spacing w:val="4"/>
          <w:szCs w:val="21"/>
          <w:lang w:val="en-GB"/>
          <w14:textFill>
            <w14:solidFill>
              <w14:schemeClr w14:val="tx1"/>
            </w14:solidFill>
          </w14:textFill>
        </w:rPr>
        <w:t>http://www.ccgp.gov.cn/</w:t>
      </w:r>
      <w:r>
        <w:rPr>
          <w:rStyle w:val="26"/>
          <w:rFonts w:hint="eastAsia" w:ascii="宋体" w:hAnsi="宋体" w:eastAsia="宋体" w:cs="宋体"/>
          <w:bCs/>
          <w:color w:val="000000" w:themeColor="text1"/>
          <w:spacing w:val="4"/>
          <w:szCs w:val="21"/>
          <w:lang w:val="en-GB"/>
          <w14:textFill>
            <w14:solidFill>
              <w14:schemeClr w14:val="tx1"/>
            </w14:solidFill>
          </w14:textFill>
        </w:rPr>
        <w:fldChar w:fldCharType="end"/>
      </w:r>
      <w:r>
        <w:rPr>
          <w:rFonts w:hint="eastAsia" w:ascii="宋体" w:hAnsi="宋体" w:eastAsia="宋体" w:cs="宋体"/>
          <w:bCs/>
          <w:color w:val="000000" w:themeColor="text1"/>
          <w:spacing w:val="4"/>
          <w:szCs w:val="21"/>
          <w:lang w:val="en-GB"/>
          <w14:textFill>
            <w14:solidFill>
              <w14:schemeClr w14:val="tx1"/>
            </w14:solidFill>
          </w14:textFill>
        </w:rPr>
        <w:t>）</w:t>
      </w:r>
      <w:r>
        <w:rPr>
          <w:rFonts w:hint="eastAsia" w:ascii="宋体" w:hAnsi="宋体" w:eastAsia="宋体" w:cs="宋体"/>
          <w:bCs/>
          <w:color w:val="000000" w:themeColor="text1"/>
          <w:spacing w:val="4"/>
          <w:szCs w:val="21"/>
          <w14:textFill>
            <w14:solidFill>
              <w14:schemeClr w14:val="tx1"/>
            </w14:solidFill>
          </w14:textFill>
        </w:rPr>
        <w:t>信息查询截图，同</w:t>
      </w:r>
      <w:r>
        <w:rPr>
          <w:rFonts w:hint="eastAsia" w:ascii="宋体" w:hAnsi="宋体" w:eastAsia="宋体" w:cs="宋体"/>
          <w:bCs/>
          <w:color w:val="000000" w:themeColor="text1"/>
          <w:szCs w:val="21"/>
          <w:lang w:val="en-GB"/>
          <w14:textFill>
            <w14:solidFill>
              <w14:schemeClr w14:val="tx1"/>
            </w14:solidFill>
          </w14:textFill>
        </w:rPr>
        <w:t>时提供有效期内的</w:t>
      </w:r>
      <w:r>
        <w:rPr>
          <w:rFonts w:hint="eastAsia" w:ascii="宋体" w:hAnsi="宋体" w:eastAsia="宋体" w:cs="宋体"/>
          <w:bCs/>
          <w:color w:val="000000" w:themeColor="text1"/>
          <w:szCs w:val="21"/>
          <w14:textFill>
            <w14:solidFill>
              <w14:schemeClr w14:val="tx1"/>
            </w14:solidFill>
          </w14:textFill>
        </w:rPr>
        <w:t>认证</w:t>
      </w:r>
      <w:r>
        <w:rPr>
          <w:rFonts w:hint="eastAsia" w:ascii="宋体" w:hAnsi="宋体" w:eastAsia="宋体" w:cs="宋体"/>
          <w:bCs/>
          <w:color w:val="000000" w:themeColor="text1"/>
          <w:szCs w:val="21"/>
          <w:lang w:val="en-GB"/>
          <w14:textFill>
            <w14:solidFill>
              <w14:schemeClr w14:val="tx1"/>
            </w14:solidFill>
          </w14:textFill>
        </w:rPr>
        <w:t>证书复印件，加盖投标人公章；</w:t>
      </w:r>
    </w:p>
    <w:p>
      <w:pPr>
        <w:pStyle w:val="29"/>
        <w:numPr>
          <w:ilvl w:val="0"/>
          <w:numId w:val="48"/>
        </w:numPr>
        <w:spacing w:line="360" w:lineRule="auto"/>
        <w:ind w:firstLineChars="0"/>
        <w:rPr>
          <w:rFonts w:ascii="宋体" w:hAnsi="宋体" w:eastAsia="宋体" w:cs="宋体"/>
          <w:bCs/>
          <w:color w:val="000000" w:themeColor="text1"/>
          <w:szCs w:val="21"/>
          <w:lang w:val="en-GB"/>
          <w14:textFill>
            <w14:solidFill>
              <w14:schemeClr w14:val="tx1"/>
            </w14:solidFill>
          </w14:textFill>
        </w:rPr>
      </w:pPr>
      <w:r>
        <w:rPr>
          <w:rFonts w:hint="eastAsia" w:ascii="宋体" w:hAnsi="宋体" w:eastAsia="宋体" w:cs="宋体"/>
          <w:bCs/>
          <w:color w:val="000000" w:themeColor="text1"/>
          <w:szCs w:val="21"/>
          <w:lang w:val="en-GB"/>
          <w14:textFill>
            <w14:solidFill>
              <w14:schemeClr w14:val="tx1"/>
            </w14:solidFill>
          </w14:textFill>
        </w:rPr>
        <w:t>以上证明资料未提供或提供</w:t>
      </w:r>
      <w:r>
        <w:rPr>
          <w:rFonts w:hint="eastAsia" w:ascii="宋体" w:hAnsi="宋体" w:eastAsia="宋体" w:cs="宋体"/>
          <w:bCs/>
          <w:color w:val="000000" w:themeColor="text1"/>
          <w:szCs w:val="21"/>
          <w14:textFill>
            <w14:solidFill>
              <w14:schemeClr w14:val="tx1"/>
            </w14:solidFill>
          </w14:textFill>
        </w:rPr>
        <w:t>不</w:t>
      </w:r>
      <w:r>
        <w:rPr>
          <w:rFonts w:hint="eastAsia" w:ascii="宋体" w:hAnsi="宋体" w:eastAsia="宋体" w:cs="宋体"/>
          <w:bCs/>
          <w:color w:val="000000" w:themeColor="text1"/>
          <w:szCs w:val="21"/>
          <w:lang w:val="en-GB"/>
          <w14:textFill>
            <w14:solidFill>
              <w14:schemeClr w14:val="tx1"/>
            </w14:solidFill>
          </w14:textFill>
        </w:rPr>
        <w:t>完整的，视为未提供处理。</w:t>
      </w:r>
    </w:p>
    <w:p>
      <w:pPr>
        <w:pStyle w:val="29"/>
        <w:numPr>
          <w:ilvl w:val="0"/>
          <w:numId w:val="48"/>
        </w:numPr>
        <w:spacing w:line="360" w:lineRule="auto"/>
        <w:ind w:firstLineChars="0"/>
        <w:rPr>
          <w:rFonts w:ascii="宋体" w:hAnsi="宋体" w:eastAsia="宋体" w:cs="宋体"/>
          <w:bCs/>
          <w:color w:val="000000" w:themeColor="text1"/>
          <w:szCs w:val="21"/>
          <w:lang w:val="en-GB"/>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投标人对填报和提供的资料真实性负责。</w:t>
      </w:r>
    </w:p>
    <w:p>
      <w:pPr>
        <w:pStyle w:val="29"/>
        <w:numPr>
          <w:ilvl w:val="0"/>
          <w:numId w:val="48"/>
        </w:numPr>
        <w:spacing w:line="360" w:lineRule="auto"/>
        <w:ind w:firstLineChars="0"/>
        <w:rPr>
          <w:rFonts w:ascii="宋体" w:hAnsi="宋体" w:eastAsia="宋体" w:cs="宋体"/>
          <w:bCs/>
          <w:color w:val="000000" w:themeColor="text1"/>
          <w:szCs w:val="21"/>
          <w:lang w:val="en-GB"/>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上表仅供参考，投标人可自行编写。</w:t>
      </w:r>
    </w:p>
    <w:p>
      <w:pPr>
        <w:spacing w:line="360" w:lineRule="auto"/>
        <w:rPr>
          <w:rFonts w:ascii="宋体" w:hAnsi="宋体" w:eastAsia="宋体" w:cs="宋体"/>
          <w:bCs/>
          <w:color w:val="000000" w:themeColor="text1"/>
          <w:szCs w:val="21"/>
          <w:lang w:val="en-GB"/>
          <w14:textFill>
            <w14:solidFill>
              <w14:schemeClr w14:val="tx1"/>
            </w14:solidFill>
          </w14:textFill>
        </w:rPr>
      </w:pPr>
    </w:p>
    <w:tbl>
      <w:tblPr>
        <w:tblStyle w:val="20"/>
        <w:tblW w:w="8528" w:type="dxa"/>
        <w:tblInd w:w="0" w:type="dxa"/>
        <w:tblLayout w:type="fixed"/>
        <w:tblCellMar>
          <w:top w:w="0" w:type="dxa"/>
          <w:left w:w="108" w:type="dxa"/>
          <w:bottom w:w="0" w:type="dxa"/>
          <w:right w:w="108" w:type="dxa"/>
        </w:tblCellMar>
      </w:tblPr>
      <w:tblGrid>
        <w:gridCol w:w="5353"/>
        <w:gridCol w:w="3175"/>
      </w:tblGrid>
      <w:tr>
        <w:tblPrEx>
          <w:tblLayout w:type="fixed"/>
          <w:tblCellMar>
            <w:top w:w="0" w:type="dxa"/>
            <w:left w:w="108" w:type="dxa"/>
            <w:bottom w:w="0" w:type="dxa"/>
            <w:right w:w="108" w:type="dxa"/>
          </w:tblCellMar>
        </w:tblPrEx>
        <w:tc>
          <w:tcPr>
            <w:tcW w:w="5353" w:type="dxa"/>
            <w:shd w:val="clear" w:color="auto" w:fill="auto"/>
          </w:tcPr>
          <w:p>
            <w:pPr>
              <w:overflowPunct w:val="0"/>
              <w:adjustRightIn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投标人名称（加盖公章）：</w:t>
            </w:r>
          </w:p>
        </w:tc>
        <w:tc>
          <w:tcPr>
            <w:tcW w:w="3175" w:type="dxa"/>
            <w:shd w:val="clear" w:color="auto" w:fill="auto"/>
          </w:tcPr>
          <w:p>
            <w:pPr>
              <w:spacing w:line="360" w:lineRule="auto"/>
              <w:rPr>
                <w:rFonts w:ascii="宋体" w:hAnsi="宋体" w:eastAsia="宋体" w:cs="宋体"/>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c>
          <w:tcPr>
            <w:tcW w:w="5353" w:type="dxa"/>
            <w:shd w:val="clear" w:color="auto" w:fill="auto"/>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年           月            日</w:t>
            </w:r>
          </w:p>
        </w:tc>
        <w:tc>
          <w:tcPr>
            <w:tcW w:w="3175" w:type="dxa"/>
            <w:shd w:val="clear" w:color="auto" w:fill="auto"/>
          </w:tcPr>
          <w:p>
            <w:pPr>
              <w:spacing w:line="360" w:lineRule="auto"/>
              <w:rPr>
                <w:rFonts w:ascii="宋体" w:hAnsi="宋体" w:eastAsia="宋体" w:cs="宋体"/>
                <w:color w:val="000000" w:themeColor="text1"/>
                <w:szCs w:val="21"/>
                <w14:textFill>
                  <w14:solidFill>
                    <w14:schemeClr w14:val="tx1"/>
                  </w14:solidFill>
                </w14:textFill>
              </w:rPr>
            </w:pPr>
          </w:p>
        </w:tc>
      </w:tr>
    </w:tbl>
    <w:p>
      <w:pPr>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pStyle w:val="4"/>
        <w:numPr>
          <w:ilvl w:val="0"/>
          <w:numId w:val="44"/>
        </w:numPr>
        <w:rPr>
          <w:color w:val="000000" w:themeColor="text1"/>
          <w:sz w:val="24"/>
          <w:szCs w:val="24"/>
          <w14:textFill>
            <w14:solidFill>
              <w14:schemeClr w14:val="tx1"/>
            </w14:solidFill>
          </w14:textFill>
        </w:rPr>
      </w:pPr>
      <w:bookmarkStart w:id="130" w:name="_Toc19985"/>
      <w:r>
        <w:rPr>
          <w:rFonts w:hint="eastAsia"/>
          <w:color w:val="000000" w:themeColor="text1"/>
          <w:sz w:val="24"/>
          <w:szCs w:val="24"/>
          <w14:textFill>
            <w14:solidFill>
              <w14:schemeClr w14:val="tx1"/>
            </w14:solidFill>
          </w14:textFill>
        </w:rPr>
        <w:t>商务技术文件格式</w:t>
      </w:r>
      <w:bookmarkEnd w:id="130"/>
    </w:p>
    <w:p>
      <w:pPr>
        <w:spacing w:line="360" w:lineRule="auto"/>
        <w:ind w:right="105"/>
        <w:jc w:val="right"/>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正本/副本</w:t>
      </w:r>
    </w:p>
    <w:p>
      <w:pPr>
        <w:spacing w:line="360" w:lineRule="auto"/>
        <w:ind w:right="105"/>
        <w:jc w:val="right"/>
        <w:rPr>
          <w:rFonts w:ascii="宋体" w:hAnsi="宋体" w:eastAsia="宋体" w:cs="宋体"/>
          <w:b/>
          <w:color w:val="000000" w:themeColor="text1"/>
          <w:szCs w:val="21"/>
          <w14:textFill>
            <w14:solidFill>
              <w14:schemeClr w14:val="tx1"/>
            </w14:solidFill>
          </w14:textFill>
        </w:rPr>
      </w:pPr>
    </w:p>
    <w:p>
      <w:pPr>
        <w:spacing w:line="360" w:lineRule="auto"/>
        <w:jc w:val="center"/>
        <w:rPr>
          <w:rFonts w:ascii="宋体" w:hAnsi="宋体" w:eastAsia="宋体" w:cs="宋体"/>
          <w:bCs/>
          <w:color w:val="000000" w:themeColor="text1"/>
          <w:sz w:val="56"/>
          <w:szCs w:val="56"/>
          <w14:textFill>
            <w14:solidFill>
              <w14:schemeClr w14:val="tx1"/>
            </w14:solidFill>
          </w14:textFill>
        </w:rPr>
      </w:pPr>
      <w:r>
        <w:rPr>
          <w:rFonts w:hint="eastAsia" w:ascii="宋体" w:hAnsi="宋体" w:eastAsia="宋体" w:cs="宋体"/>
          <w:bCs/>
          <w:color w:val="000000" w:themeColor="text1"/>
          <w:sz w:val="56"/>
          <w:szCs w:val="56"/>
          <w14:textFill>
            <w14:solidFill>
              <w14:schemeClr w14:val="tx1"/>
            </w14:solidFill>
          </w14:textFill>
        </w:rPr>
        <w:t>校园网络及监控、广播系统升级改造项目</w:t>
      </w:r>
    </w:p>
    <w:p>
      <w:pPr>
        <w:spacing w:line="360" w:lineRule="auto"/>
        <w:jc w:val="center"/>
        <w:rPr>
          <w:rFonts w:ascii="宋体" w:hAnsi="宋体" w:eastAsia="宋体" w:cs="宋体"/>
          <w:b/>
          <w:color w:val="000000" w:themeColor="text1"/>
          <w:szCs w:val="21"/>
          <w14:textFill>
            <w14:solidFill>
              <w14:schemeClr w14:val="tx1"/>
            </w14:solidFill>
          </w14:textFill>
        </w:rPr>
      </w:pPr>
    </w:p>
    <w:p>
      <w:pPr>
        <w:spacing w:line="360" w:lineRule="auto"/>
        <w:jc w:val="center"/>
        <w:rPr>
          <w:rFonts w:ascii="宋体" w:hAnsi="宋体" w:eastAsia="宋体" w:cs="宋体"/>
          <w:b/>
          <w:color w:val="000000" w:themeColor="text1"/>
          <w:szCs w:val="21"/>
          <w14:textFill>
            <w14:solidFill>
              <w14:schemeClr w14:val="tx1"/>
            </w14:solidFill>
          </w14:textFill>
        </w:rPr>
      </w:pPr>
    </w:p>
    <w:p>
      <w:pPr>
        <w:spacing w:line="360" w:lineRule="auto"/>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（项目编号： ）</w:t>
      </w:r>
    </w:p>
    <w:p>
      <w:pPr>
        <w:spacing w:before="1248" w:beforeLines="400" w:line="360" w:lineRule="auto"/>
        <w:jc w:val="center"/>
        <w:rPr>
          <w:rFonts w:ascii="宋体" w:hAnsi="宋体" w:eastAsia="宋体" w:cs="宋体"/>
          <w:b/>
          <w:color w:val="000000" w:themeColor="text1"/>
          <w:spacing w:val="60"/>
          <w:sz w:val="72"/>
          <w:szCs w:val="72"/>
          <w14:textFill>
            <w14:solidFill>
              <w14:schemeClr w14:val="tx1"/>
            </w14:solidFill>
          </w14:textFill>
        </w:rPr>
      </w:pPr>
      <w:r>
        <w:rPr>
          <w:rFonts w:hint="eastAsia" w:ascii="宋体" w:hAnsi="宋体" w:eastAsia="宋体" w:cs="宋体"/>
          <w:b/>
          <w:color w:val="000000" w:themeColor="text1"/>
          <w:spacing w:val="60"/>
          <w:sz w:val="72"/>
          <w:szCs w:val="72"/>
          <w14:textFill>
            <w14:solidFill>
              <w14:schemeClr w14:val="tx1"/>
            </w14:solidFill>
          </w14:textFill>
        </w:rPr>
        <w:t>商务技术文件</w:t>
      </w:r>
    </w:p>
    <w:p>
      <w:pPr>
        <w:spacing w:after="2028" w:afterLines="650" w:line="360" w:lineRule="auto"/>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（封面格式仅供参考）</w:t>
      </w:r>
    </w:p>
    <w:tbl>
      <w:tblPr>
        <w:tblStyle w:val="21"/>
        <w:tblW w:w="71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28"/>
        <w:gridCol w:w="5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2028" w:type="dxa"/>
            <w:vAlign w:val="center"/>
          </w:tcPr>
          <w:p>
            <w:pPr>
              <w:spacing w:line="360" w:lineRule="auto"/>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投标单位全称：</w:t>
            </w:r>
          </w:p>
        </w:tc>
        <w:tc>
          <w:tcPr>
            <w:tcW w:w="5108" w:type="dxa"/>
            <w:vAlign w:val="center"/>
          </w:tcPr>
          <w:p>
            <w:pPr>
              <w:spacing w:line="360" w:lineRule="auto"/>
              <w:jc w:val="left"/>
              <w:rPr>
                <w:rFonts w:ascii="宋体" w:hAnsi="宋体" w:eastAsia="宋体" w:cs="宋体"/>
                <w:color w:val="000000" w:themeColor="text1"/>
                <w:sz w:val="24"/>
                <w:szCs w:val="24"/>
                <w:u w:val="singl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6" w:hRule="atLeast"/>
          <w:jc w:val="center"/>
        </w:trPr>
        <w:tc>
          <w:tcPr>
            <w:tcW w:w="2028" w:type="dxa"/>
            <w:vAlign w:val="center"/>
          </w:tcPr>
          <w:p>
            <w:pPr>
              <w:spacing w:line="360" w:lineRule="auto"/>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投标单位地址：</w:t>
            </w:r>
          </w:p>
        </w:tc>
        <w:tc>
          <w:tcPr>
            <w:tcW w:w="5108" w:type="dxa"/>
            <w:vAlign w:val="center"/>
          </w:tcPr>
          <w:p>
            <w:pPr>
              <w:spacing w:line="360" w:lineRule="auto"/>
              <w:jc w:val="left"/>
              <w:rPr>
                <w:rFonts w:ascii="宋体" w:hAnsi="宋体" w:eastAsia="宋体" w:cs="宋体"/>
                <w:color w:val="000000" w:themeColor="text1"/>
                <w:sz w:val="24"/>
                <w:szCs w:val="24"/>
                <w:u w:val="singl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28" w:type="dxa"/>
            <w:vAlign w:val="center"/>
          </w:tcPr>
          <w:p>
            <w:pPr>
              <w:spacing w:line="360" w:lineRule="auto"/>
              <w:jc w:val="center"/>
              <w:rPr>
                <w:rFonts w:ascii="宋体" w:hAnsi="宋体" w:eastAsia="宋体" w:cs="宋体"/>
                <w:color w:val="000000" w:themeColor="text1"/>
                <w:spacing w:val="-10"/>
                <w:sz w:val="24"/>
                <w:szCs w:val="24"/>
                <w14:textFill>
                  <w14:solidFill>
                    <w14:schemeClr w14:val="tx1"/>
                  </w14:solidFill>
                </w14:textFill>
              </w:rPr>
            </w:pPr>
            <w:r>
              <w:rPr>
                <w:rFonts w:hint="eastAsia" w:ascii="宋体" w:hAnsi="宋体" w:eastAsia="宋体" w:cs="宋体"/>
                <w:color w:val="000000" w:themeColor="text1"/>
                <w:spacing w:val="-10"/>
                <w:sz w:val="24"/>
                <w:szCs w:val="24"/>
                <w14:textFill>
                  <w14:solidFill>
                    <w14:schemeClr w14:val="tx1"/>
                  </w14:solidFill>
                </w14:textFill>
              </w:rPr>
              <w:t>投标单位联系人：</w:t>
            </w:r>
          </w:p>
        </w:tc>
        <w:tc>
          <w:tcPr>
            <w:tcW w:w="5108" w:type="dxa"/>
            <w:vAlign w:val="center"/>
          </w:tcPr>
          <w:p>
            <w:pPr>
              <w:spacing w:line="360" w:lineRule="auto"/>
              <w:jc w:val="left"/>
              <w:rPr>
                <w:rFonts w:ascii="宋体" w:hAnsi="宋体" w:eastAsia="宋体" w:cs="宋体"/>
                <w:color w:val="000000" w:themeColor="text1"/>
                <w:sz w:val="24"/>
                <w:szCs w:val="24"/>
                <w:u w:val="singl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jc w:val="center"/>
        </w:trPr>
        <w:tc>
          <w:tcPr>
            <w:tcW w:w="2028" w:type="dxa"/>
            <w:vAlign w:val="center"/>
          </w:tcPr>
          <w:p>
            <w:pPr>
              <w:spacing w:line="360" w:lineRule="auto"/>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投标单位固话：</w:t>
            </w:r>
          </w:p>
        </w:tc>
        <w:tc>
          <w:tcPr>
            <w:tcW w:w="5108" w:type="dxa"/>
            <w:vAlign w:val="center"/>
          </w:tcPr>
          <w:p>
            <w:pPr>
              <w:spacing w:line="360" w:lineRule="auto"/>
              <w:jc w:val="left"/>
              <w:rPr>
                <w:rFonts w:ascii="宋体" w:hAnsi="宋体" w:eastAsia="宋体" w:cs="宋体"/>
                <w:color w:val="000000" w:themeColor="text1"/>
                <w:sz w:val="24"/>
                <w:szCs w:val="24"/>
                <w:u w:val="singl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2028" w:type="dxa"/>
            <w:vAlign w:val="center"/>
          </w:tcPr>
          <w:p>
            <w:pPr>
              <w:spacing w:line="360" w:lineRule="auto"/>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投标单位传真：</w:t>
            </w:r>
          </w:p>
        </w:tc>
        <w:tc>
          <w:tcPr>
            <w:tcW w:w="5108" w:type="dxa"/>
            <w:vAlign w:val="center"/>
          </w:tcPr>
          <w:p>
            <w:pPr>
              <w:spacing w:line="360" w:lineRule="auto"/>
              <w:jc w:val="left"/>
              <w:rPr>
                <w:rFonts w:ascii="宋体" w:hAnsi="宋体" w:eastAsia="宋体" w:cs="宋体"/>
                <w:color w:val="000000" w:themeColor="text1"/>
                <w:sz w:val="24"/>
                <w:szCs w:val="24"/>
                <w:u w:val="single"/>
                <w14:textFill>
                  <w14:solidFill>
                    <w14:schemeClr w14:val="tx1"/>
                  </w14:solidFill>
                </w14:textFill>
              </w:rPr>
            </w:pPr>
          </w:p>
        </w:tc>
      </w:tr>
    </w:tbl>
    <w:p>
      <w:pPr>
        <w:spacing w:line="360" w:lineRule="auto"/>
        <w:rPr>
          <w:rFonts w:ascii="宋体" w:hAnsi="宋体" w:eastAsia="宋体" w:cs="宋体"/>
          <w:color w:val="000000" w:themeColor="text1"/>
          <w:szCs w:val="21"/>
          <w14:textFill>
            <w14:solidFill>
              <w14:schemeClr w14:val="tx1"/>
            </w14:solidFill>
          </w14:textFill>
        </w:rPr>
      </w:pPr>
    </w:p>
    <w:p>
      <w:pPr>
        <w:spacing w:before="312" w:beforeLines="100" w:after="156" w:afterLines="50" w:line="600" w:lineRule="exact"/>
        <w:jc w:val="center"/>
        <w:rPr>
          <w:rFonts w:ascii="宋体" w:hAnsi="宋体" w:eastAsia="宋体" w:cs="宋体"/>
          <w:b/>
          <w:bCs/>
          <w:color w:val="000000" w:themeColor="text1"/>
          <w:spacing w:val="40"/>
          <w:sz w:val="24"/>
          <w:szCs w:val="24"/>
          <w14:textFill>
            <w14:solidFill>
              <w14:schemeClr w14:val="tx1"/>
            </w14:solidFill>
          </w14:textFill>
        </w:rPr>
      </w:pPr>
      <w:r>
        <w:rPr>
          <w:rFonts w:hint="eastAsia" w:ascii="宋体" w:hAnsi="宋体" w:eastAsia="宋体" w:cs="宋体"/>
          <w:b/>
          <w:color w:val="000000" w:themeColor="text1"/>
          <w:spacing w:val="40"/>
          <w:sz w:val="24"/>
          <w:szCs w:val="24"/>
          <w14:textFill>
            <w14:solidFill>
              <w14:schemeClr w14:val="tx1"/>
            </w14:solidFill>
          </w14:textFill>
        </w:rPr>
        <w:t>日期：二零一 年 月 日</w:t>
      </w:r>
    </w:p>
    <w:p>
      <w:pPr>
        <w:spacing w:before="312" w:beforeLines="100" w:after="312" w:afterLines="100"/>
        <w:jc w:val="center"/>
        <w:rPr>
          <w:rFonts w:ascii="宋体" w:hAnsi="宋体" w:eastAsia="宋体" w:cs="宋体"/>
          <w:b/>
          <w:color w:val="000000" w:themeColor="text1"/>
          <w:spacing w:val="20"/>
          <w:sz w:val="28"/>
          <w:szCs w:val="28"/>
          <w14:textFill>
            <w14:solidFill>
              <w14:schemeClr w14:val="tx1"/>
            </w14:solidFill>
          </w14:textFill>
        </w:rPr>
      </w:pPr>
      <w:r>
        <w:rPr>
          <w:rFonts w:hint="eastAsia" w:ascii="宋体" w:hAnsi="宋体" w:eastAsia="宋体" w:cs="宋体"/>
          <w:b/>
          <w:color w:val="000000" w:themeColor="text1"/>
          <w:spacing w:val="20"/>
          <w:sz w:val="28"/>
          <w:szCs w:val="28"/>
          <w14:textFill>
            <w14:solidFill>
              <w14:schemeClr w14:val="tx1"/>
            </w14:solidFill>
          </w14:textFill>
        </w:rPr>
        <w:t>资格性审查表</w:t>
      </w:r>
    </w:p>
    <w:tbl>
      <w:tblPr>
        <w:tblStyle w:val="2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4801"/>
        <w:gridCol w:w="1276"/>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8528" w:type="dxa"/>
            <w:gridSpan w:val="4"/>
            <w:vAlign w:val="center"/>
          </w:tcPr>
          <w:p>
            <w:pPr>
              <w:spacing w:line="360" w:lineRule="auto"/>
              <w:jc w:val="left"/>
              <w:rPr>
                <w:rFonts w:ascii="宋体" w:hAnsi="宋体" w:eastAsia="宋体" w:cs="宋体"/>
                <w:bCs/>
                <w:color w:val="000000" w:themeColor="text1"/>
                <w:spacing w:val="-10"/>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 xml:space="preserve">项目名称：                                   </w:t>
            </w:r>
            <w:r>
              <w:rPr>
                <w:rFonts w:hint="eastAsia" w:ascii="宋体" w:hAnsi="宋体" w:eastAsia="宋体" w:cs="宋体"/>
                <w:b/>
                <w:color w:val="000000" w:themeColor="text1"/>
                <w:szCs w:val="21"/>
                <w14:textFill>
                  <w14:solidFill>
                    <w14:schemeClr w14:val="tx1"/>
                  </w14:solidFill>
                </w14:textFill>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694"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序号</w:t>
            </w:r>
          </w:p>
        </w:tc>
        <w:tc>
          <w:tcPr>
            <w:tcW w:w="4801" w:type="dxa"/>
            <w:tcBorders>
              <w:bottom w:val="single" w:color="auto" w:sz="4" w:space="0"/>
              <w:tl2br w:val="nil"/>
            </w:tcBorders>
            <w:vAlign w:val="center"/>
          </w:tcPr>
          <w:p>
            <w:pPr>
              <w:spacing w:line="360" w:lineRule="auto"/>
              <w:ind w:left="211" w:hanging="211" w:hangingChars="100"/>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审查内容</w:t>
            </w:r>
          </w:p>
        </w:tc>
        <w:tc>
          <w:tcPr>
            <w:tcW w:w="1276"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自查</w:t>
            </w:r>
          </w:p>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结论</w:t>
            </w:r>
          </w:p>
        </w:tc>
        <w:tc>
          <w:tcPr>
            <w:tcW w:w="1757" w:type="dxa"/>
            <w:vAlign w:val="center"/>
          </w:tcPr>
          <w:p>
            <w:pPr>
              <w:spacing w:line="360" w:lineRule="auto"/>
              <w:jc w:val="center"/>
              <w:rPr>
                <w:rFonts w:ascii="宋体" w:hAnsi="宋体" w:eastAsia="宋体" w:cs="宋体"/>
                <w:b/>
                <w:bCs/>
                <w:color w:val="000000" w:themeColor="text1"/>
                <w:spacing w:val="-10"/>
                <w:szCs w:val="21"/>
                <w14:textFill>
                  <w14:solidFill>
                    <w14:schemeClr w14:val="tx1"/>
                  </w14:solidFill>
                </w14:textFill>
              </w:rPr>
            </w:pPr>
            <w:r>
              <w:rPr>
                <w:rFonts w:hint="eastAsia" w:ascii="宋体" w:hAnsi="宋体" w:eastAsia="宋体" w:cs="宋体"/>
                <w:b/>
                <w:bCs/>
                <w:color w:val="000000" w:themeColor="text1"/>
                <w:spacing w:val="-10"/>
                <w:szCs w:val="21"/>
                <w14:textFill>
                  <w14:solidFill>
                    <w14:schemeClr w14:val="tx1"/>
                  </w14:solidFill>
                </w14:textFill>
              </w:rPr>
              <w:t>商务技术文件</w:t>
            </w:r>
          </w:p>
          <w:p>
            <w:pPr>
              <w:spacing w:line="360" w:lineRule="auto"/>
              <w:jc w:val="center"/>
              <w:rPr>
                <w:rFonts w:ascii="宋体" w:hAnsi="宋体" w:eastAsia="宋体" w:cs="宋体"/>
                <w:b/>
                <w:bCs/>
                <w:color w:val="000000" w:themeColor="text1"/>
                <w:spacing w:val="-10"/>
                <w:szCs w:val="21"/>
                <w14:textFill>
                  <w14:solidFill>
                    <w14:schemeClr w14:val="tx1"/>
                  </w14:solidFill>
                </w14:textFill>
              </w:rPr>
            </w:pPr>
            <w:r>
              <w:rPr>
                <w:rFonts w:hint="eastAsia" w:ascii="宋体" w:hAnsi="宋体" w:eastAsia="宋体" w:cs="宋体"/>
                <w:b/>
                <w:bCs/>
                <w:color w:val="000000" w:themeColor="text1"/>
                <w:spacing w:val="-10"/>
                <w:szCs w:val="21"/>
                <w14:textFill>
                  <w14:solidFill>
                    <w14:schemeClr w14:val="tx1"/>
                  </w14:solidFill>
                </w14:textFill>
              </w:rPr>
              <w:t>响应页码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694"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1</w:t>
            </w:r>
          </w:p>
        </w:tc>
        <w:tc>
          <w:tcPr>
            <w:tcW w:w="4801" w:type="dxa"/>
            <w:tcBorders>
              <w:tl2br w:val="nil"/>
            </w:tcBorders>
            <w:vAlign w:val="center"/>
          </w:tcPr>
          <w:p>
            <w:pPr>
              <w:jc w:val="left"/>
              <w:rPr>
                <w:rFonts w:ascii="宋体" w:hAnsi="宋体" w:eastAsia="宋体" w:cs="宋体"/>
                <w:color w:val="000000" w:themeColor="text1"/>
                <w14:textFill>
                  <w14:solidFill>
                    <w14:schemeClr w14:val="tx1"/>
                  </w14:solidFill>
                </w14:textFill>
              </w:rPr>
            </w:pPr>
          </w:p>
        </w:tc>
        <w:tc>
          <w:tcPr>
            <w:tcW w:w="1276"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p>
        </w:tc>
        <w:tc>
          <w:tcPr>
            <w:tcW w:w="1757"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94"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2</w:t>
            </w:r>
          </w:p>
        </w:tc>
        <w:tc>
          <w:tcPr>
            <w:tcW w:w="4801" w:type="dxa"/>
            <w:vAlign w:val="center"/>
          </w:tcPr>
          <w:p>
            <w:pPr>
              <w:spacing w:line="360" w:lineRule="auto"/>
              <w:jc w:val="left"/>
              <w:rPr>
                <w:rFonts w:ascii="宋体" w:hAnsi="宋体" w:eastAsia="宋体" w:cs="宋体"/>
                <w:b/>
                <w:bCs/>
                <w:color w:val="000000" w:themeColor="text1"/>
                <w:szCs w:val="21"/>
                <w14:textFill>
                  <w14:solidFill>
                    <w14:schemeClr w14:val="tx1"/>
                  </w14:solidFill>
                </w14:textFill>
              </w:rPr>
            </w:pPr>
          </w:p>
        </w:tc>
        <w:tc>
          <w:tcPr>
            <w:tcW w:w="1276"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757"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94"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3</w:t>
            </w:r>
          </w:p>
        </w:tc>
        <w:tc>
          <w:tcPr>
            <w:tcW w:w="4801" w:type="dxa"/>
            <w:vAlign w:val="center"/>
          </w:tcPr>
          <w:p>
            <w:pPr>
              <w:spacing w:line="360" w:lineRule="auto"/>
              <w:jc w:val="left"/>
              <w:rPr>
                <w:rFonts w:ascii="宋体" w:hAnsi="宋体" w:eastAsia="宋体" w:cs="宋体"/>
                <w:b/>
                <w:bCs/>
                <w:color w:val="000000" w:themeColor="text1"/>
                <w:szCs w:val="21"/>
                <w14:textFill>
                  <w14:solidFill>
                    <w14:schemeClr w14:val="tx1"/>
                  </w14:solidFill>
                </w14:textFill>
              </w:rPr>
            </w:pPr>
          </w:p>
        </w:tc>
        <w:tc>
          <w:tcPr>
            <w:tcW w:w="1276"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757"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94"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4</w:t>
            </w:r>
          </w:p>
        </w:tc>
        <w:tc>
          <w:tcPr>
            <w:tcW w:w="4801" w:type="dxa"/>
            <w:vAlign w:val="center"/>
          </w:tcPr>
          <w:p>
            <w:pPr>
              <w:spacing w:line="360" w:lineRule="auto"/>
              <w:jc w:val="left"/>
              <w:rPr>
                <w:rFonts w:ascii="宋体" w:hAnsi="宋体" w:eastAsia="宋体" w:cs="宋体"/>
                <w:b/>
                <w:bCs/>
                <w:color w:val="000000" w:themeColor="text1"/>
                <w:szCs w:val="21"/>
                <w14:textFill>
                  <w14:solidFill>
                    <w14:schemeClr w14:val="tx1"/>
                  </w14:solidFill>
                </w14:textFill>
              </w:rPr>
            </w:pPr>
          </w:p>
        </w:tc>
        <w:tc>
          <w:tcPr>
            <w:tcW w:w="1276"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757"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r>
    </w:tbl>
    <w:p>
      <w:pPr>
        <w:spacing w:before="156" w:beforeLines="5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注明：</w:t>
      </w:r>
    </w:p>
    <w:p>
      <w:pPr>
        <w:pStyle w:val="29"/>
        <w:numPr>
          <w:ilvl w:val="0"/>
          <w:numId w:val="49"/>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自查结论处请填写：通过/不通过；</w:t>
      </w:r>
    </w:p>
    <w:p>
      <w:pPr>
        <w:pStyle w:val="29"/>
        <w:numPr>
          <w:ilvl w:val="0"/>
          <w:numId w:val="49"/>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按招标文件第四部分 评标方法、步骤、标准之附表资格性审查表(附表一)相对应条款填写</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（此表格建议投标人认真填写。）</w:t>
      </w:r>
    </w:p>
    <w:p>
      <w:pPr>
        <w:pStyle w:val="33"/>
        <w:spacing w:before="312" w:beforeLines="100" w:line="360" w:lineRule="auto"/>
        <w:ind w:firstLine="0" w:firstLineChars="0"/>
        <w:rPr>
          <w:rFonts w:ascii="宋体" w:eastAsia="宋体" w:cs="宋体"/>
          <w:b/>
          <w:color w:val="000000" w:themeColor="text1"/>
          <w:sz w:val="21"/>
          <w:szCs w:val="21"/>
          <w14:textFill>
            <w14:solidFill>
              <w14:schemeClr w14:val="tx1"/>
            </w14:solidFill>
          </w14:textFill>
        </w:rPr>
      </w:pPr>
    </w:p>
    <w:p>
      <w:pPr>
        <w:pStyle w:val="33"/>
        <w:spacing w:before="312" w:beforeLines="100" w:line="360" w:lineRule="auto"/>
        <w:ind w:firstLine="0" w:firstLineChars="0"/>
        <w:rPr>
          <w:rFonts w:ascii="宋体" w:eastAsia="宋体" w:cs="宋体"/>
          <w:b/>
          <w:color w:val="000000" w:themeColor="text1"/>
          <w:sz w:val="21"/>
          <w:szCs w:val="21"/>
          <w14:textFill>
            <w14:solidFill>
              <w14:schemeClr w14:val="tx1"/>
            </w14:solidFill>
          </w14:textFill>
        </w:rPr>
      </w:pPr>
    </w:p>
    <w:p>
      <w:pPr>
        <w:pStyle w:val="33"/>
        <w:spacing w:before="312" w:beforeLines="100" w:line="360" w:lineRule="auto"/>
        <w:ind w:firstLine="0" w:firstLineChars="0"/>
        <w:rPr>
          <w:rFonts w:ascii="宋体" w:eastAsia="宋体" w:cs="宋体"/>
          <w:b/>
          <w:color w:val="000000" w:themeColor="text1"/>
          <w:sz w:val="21"/>
          <w:szCs w:val="21"/>
          <w14:textFill>
            <w14:solidFill>
              <w14:schemeClr w14:val="tx1"/>
            </w14:solidFill>
          </w14:textFill>
        </w:rPr>
      </w:pPr>
    </w:p>
    <w:p>
      <w:pPr>
        <w:pStyle w:val="33"/>
        <w:spacing w:before="312" w:beforeLines="100" w:line="360" w:lineRule="auto"/>
        <w:ind w:firstLine="0" w:firstLineChars="0"/>
        <w:rPr>
          <w:rFonts w:ascii="宋体" w:eastAsia="宋体" w:cs="宋体"/>
          <w:b/>
          <w:color w:val="000000" w:themeColor="text1"/>
          <w:sz w:val="21"/>
          <w:szCs w:val="21"/>
          <w14:textFill>
            <w14:solidFill>
              <w14:schemeClr w14:val="tx1"/>
            </w14:solidFill>
          </w14:textFill>
        </w:rPr>
      </w:pPr>
    </w:p>
    <w:p>
      <w:pPr>
        <w:pStyle w:val="33"/>
        <w:spacing w:before="312" w:beforeLines="100" w:line="360" w:lineRule="auto"/>
        <w:ind w:firstLine="0" w:firstLineChars="0"/>
        <w:rPr>
          <w:rFonts w:ascii="宋体" w:eastAsia="宋体" w:cs="宋体"/>
          <w:b/>
          <w:color w:val="000000" w:themeColor="text1"/>
          <w:sz w:val="21"/>
          <w:szCs w:val="21"/>
          <w14:textFill>
            <w14:solidFill>
              <w14:schemeClr w14:val="tx1"/>
            </w14:solidFill>
          </w14:textFill>
        </w:rPr>
      </w:pPr>
    </w:p>
    <w:p>
      <w:pPr>
        <w:pStyle w:val="33"/>
        <w:spacing w:before="312" w:beforeLines="100" w:line="360" w:lineRule="auto"/>
        <w:ind w:firstLine="0" w:firstLineChars="0"/>
        <w:rPr>
          <w:rFonts w:ascii="宋体" w:eastAsia="宋体" w:cs="宋体"/>
          <w:b/>
          <w:color w:val="000000" w:themeColor="text1"/>
          <w:sz w:val="21"/>
          <w:szCs w:val="21"/>
          <w14:textFill>
            <w14:solidFill>
              <w14:schemeClr w14:val="tx1"/>
            </w14:solidFill>
          </w14:textFill>
        </w:rPr>
      </w:pPr>
    </w:p>
    <w:p>
      <w:pPr>
        <w:pStyle w:val="33"/>
        <w:spacing w:before="312" w:beforeLines="100" w:line="360" w:lineRule="auto"/>
        <w:ind w:firstLine="0" w:firstLineChars="0"/>
        <w:rPr>
          <w:rFonts w:ascii="宋体" w:eastAsia="宋体" w:cs="宋体"/>
          <w:b/>
          <w:color w:val="000000" w:themeColor="text1"/>
          <w:sz w:val="21"/>
          <w:szCs w:val="21"/>
          <w14:textFill>
            <w14:solidFill>
              <w14:schemeClr w14:val="tx1"/>
            </w14:solidFill>
          </w14:textFill>
        </w:rPr>
      </w:pPr>
    </w:p>
    <w:p>
      <w:pPr>
        <w:pStyle w:val="33"/>
        <w:spacing w:before="312" w:beforeLines="100" w:line="360" w:lineRule="auto"/>
        <w:ind w:firstLine="0" w:firstLineChars="0"/>
        <w:rPr>
          <w:rFonts w:ascii="宋体" w:eastAsia="宋体" w:cs="宋体"/>
          <w:b/>
          <w:color w:val="000000" w:themeColor="text1"/>
          <w:sz w:val="21"/>
          <w:szCs w:val="21"/>
          <w14:textFill>
            <w14:solidFill>
              <w14:schemeClr w14:val="tx1"/>
            </w14:solidFill>
          </w14:textFill>
        </w:rPr>
      </w:pPr>
    </w:p>
    <w:p>
      <w:pPr>
        <w:spacing w:before="312" w:beforeLines="100" w:after="312" w:afterLines="100"/>
        <w:jc w:val="center"/>
        <w:rPr>
          <w:rFonts w:ascii="宋体" w:hAnsi="宋体" w:eastAsia="宋体" w:cs="宋体"/>
          <w:b/>
          <w:color w:val="000000" w:themeColor="text1"/>
          <w:spacing w:val="20"/>
          <w:sz w:val="28"/>
          <w:szCs w:val="28"/>
          <w14:textFill>
            <w14:solidFill>
              <w14:schemeClr w14:val="tx1"/>
            </w14:solidFill>
          </w14:textFill>
        </w:rPr>
      </w:pPr>
      <w:r>
        <w:rPr>
          <w:rFonts w:hint="eastAsia" w:ascii="宋体" w:hAnsi="宋体" w:eastAsia="宋体" w:cs="宋体"/>
          <w:b/>
          <w:color w:val="000000" w:themeColor="text1"/>
          <w:spacing w:val="20"/>
          <w:sz w:val="28"/>
          <w:szCs w:val="28"/>
          <w14:textFill>
            <w14:solidFill>
              <w14:schemeClr w14:val="tx1"/>
            </w14:solidFill>
          </w14:textFill>
        </w:rPr>
        <w:t>符合性自查索引表</w:t>
      </w:r>
    </w:p>
    <w:tbl>
      <w:tblPr>
        <w:tblStyle w:val="2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4801"/>
        <w:gridCol w:w="1276"/>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8528" w:type="dxa"/>
            <w:gridSpan w:val="4"/>
            <w:vAlign w:val="center"/>
          </w:tcPr>
          <w:p>
            <w:pPr>
              <w:spacing w:line="360" w:lineRule="auto"/>
              <w:jc w:val="left"/>
              <w:rPr>
                <w:rFonts w:ascii="宋体" w:hAnsi="宋体" w:eastAsia="宋体" w:cs="宋体"/>
                <w:bCs/>
                <w:color w:val="000000" w:themeColor="text1"/>
                <w:spacing w:val="-10"/>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 xml:space="preserve">项目名称：                                  </w:t>
            </w:r>
            <w:r>
              <w:rPr>
                <w:rFonts w:hint="eastAsia" w:ascii="宋体" w:hAnsi="宋体" w:eastAsia="宋体" w:cs="宋体"/>
                <w:b/>
                <w:color w:val="000000" w:themeColor="text1"/>
                <w:szCs w:val="21"/>
                <w14:textFill>
                  <w14:solidFill>
                    <w14:schemeClr w14:val="tx1"/>
                  </w14:solidFill>
                </w14:textFill>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694"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序号</w:t>
            </w:r>
          </w:p>
        </w:tc>
        <w:tc>
          <w:tcPr>
            <w:tcW w:w="4801" w:type="dxa"/>
            <w:tcBorders>
              <w:bottom w:val="single" w:color="auto" w:sz="4" w:space="0"/>
              <w:tl2br w:val="nil"/>
            </w:tcBorders>
            <w:vAlign w:val="center"/>
          </w:tcPr>
          <w:p>
            <w:pPr>
              <w:spacing w:line="360" w:lineRule="auto"/>
              <w:ind w:left="211" w:hanging="211" w:hangingChars="100"/>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审查内容</w:t>
            </w:r>
          </w:p>
        </w:tc>
        <w:tc>
          <w:tcPr>
            <w:tcW w:w="1276"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自查</w:t>
            </w:r>
          </w:p>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结论</w:t>
            </w:r>
          </w:p>
        </w:tc>
        <w:tc>
          <w:tcPr>
            <w:tcW w:w="1757" w:type="dxa"/>
            <w:vAlign w:val="center"/>
          </w:tcPr>
          <w:p>
            <w:pPr>
              <w:spacing w:line="360" w:lineRule="auto"/>
              <w:jc w:val="center"/>
              <w:rPr>
                <w:rFonts w:ascii="宋体" w:hAnsi="宋体" w:eastAsia="宋体" w:cs="宋体"/>
                <w:b/>
                <w:bCs/>
                <w:color w:val="000000" w:themeColor="text1"/>
                <w:spacing w:val="-10"/>
                <w:szCs w:val="21"/>
                <w14:textFill>
                  <w14:solidFill>
                    <w14:schemeClr w14:val="tx1"/>
                  </w14:solidFill>
                </w14:textFill>
              </w:rPr>
            </w:pPr>
            <w:r>
              <w:rPr>
                <w:rFonts w:hint="eastAsia" w:ascii="宋体" w:hAnsi="宋体" w:eastAsia="宋体" w:cs="宋体"/>
                <w:b/>
                <w:bCs/>
                <w:color w:val="000000" w:themeColor="text1"/>
                <w:spacing w:val="-10"/>
                <w:szCs w:val="21"/>
                <w14:textFill>
                  <w14:solidFill>
                    <w14:schemeClr w14:val="tx1"/>
                  </w14:solidFill>
                </w14:textFill>
              </w:rPr>
              <w:t>商务技术/价格投标文件响应页码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694"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1</w:t>
            </w:r>
          </w:p>
        </w:tc>
        <w:tc>
          <w:tcPr>
            <w:tcW w:w="4801" w:type="dxa"/>
            <w:tcBorders>
              <w:tl2br w:val="nil"/>
            </w:tcBorders>
            <w:vAlign w:val="center"/>
          </w:tcPr>
          <w:p>
            <w:pPr>
              <w:jc w:val="left"/>
              <w:rPr>
                <w:rFonts w:ascii="宋体" w:hAnsi="宋体" w:eastAsia="宋体" w:cs="宋体"/>
                <w:color w:val="000000" w:themeColor="text1"/>
                <w14:textFill>
                  <w14:solidFill>
                    <w14:schemeClr w14:val="tx1"/>
                  </w14:solidFill>
                </w14:textFill>
              </w:rPr>
            </w:pPr>
          </w:p>
        </w:tc>
        <w:tc>
          <w:tcPr>
            <w:tcW w:w="1276"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p>
        </w:tc>
        <w:tc>
          <w:tcPr>
            <w:tcW w:w="1757"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94"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2</w:t>
            </w:r>
          </w:p>
        </w:tc>
        <w:tc>
          <w:tcPr>
            <w:tcW w:w="4801" w:type="dxa"/>
            <w:vAlign w:val="center"/>
          </w:tcPr>
          <w:p>
            <w:pPr>
              <w:spacing w:line="360" w:lineRule="auto"/>
              <w:jc w:val="left"/>
              <w:rPr>
                <w:rFonts w:ascii="宋体" w:hAnsi="宋体" w:eastAsia="宋体" w:cs="宋体"/>
                <w:b/>
                <w:bCs/>
                <w:color w:val="000000" w:themeColor="text1"/>
                <w:szCs w:val="21"/>
                <w14:textFill>
                  <w14:solidFill>
                    <w14:schemeClr w14:val="tx1"/>
                  </w14:solidFill>
                </w14:textFill>
              </w:rPr>
            </w:pPr>
          </w:p>
        </w:tc>
        <w:tc>
          <w:tcPr>
            <w:tcW w:w="1276"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757"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94"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3</w:t>
            </w:r>
          </w:p>
        </w:tc>
        <w:tc>
          <w:tcPr>
            <w:tcW w:w="4801" w:type="dxa"/>
            <w:vAlign w:val="center"/>
          </w:tcPr>
          <w:p>
            <w:pPr>
              <w:spacing w:line="360" w:lineRule="auto"/>
              <w:jc w:val="left"/>
              <w:rPr>
                <w:rFonts w:ascii="宋体" w:hAnsi="宋体" w:eastAsia="宋体" w:cs="宋体"/>
                <w:b/>
                <w:bCs/>
                <w:color w:val="000000" w:themeColor="text1"/>
                <w:szCs w:val="21"/>
                <w14:textFill>
                  <w14:solidFill>
                    <w14:schemeClr w14:val="tx1"/>
                  </w14:solidFill>
                </w14:textFill>
              </w:rPr>
            </w:pPr>
          </w:p>
        </w:tc>
        <w:tc>
          <w:tcPr>
            <w:tcW w:w="1276"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757"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94"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4</w:t>
            </w:r>
          </w:p>
        </w:tc>
        <w:tc>
          <w:tcPr>
            <w:tcW w:w="4801" w:type="dxa"/>
            <w:vAlign w:val="center"/>
          </w:tcPr>
          <w:p>
            <w:pPr>
              <w:spacing w:line="360" w:lineRule="auto"/>
              <w:jc w:val="left"/>
              <w:rPr>
                <w:rFonts w:ascii="宋体" w:hAnsi="宋体" w:eastAsia="宋体" w:cs="宋体"/>
                <w:b/>
                <w:bCs/>
                <w:color w:val="000000" w:themeColor="text1"/>
                <w:szCs w:val="21"/>
                <w14:textFill>
                  <w14:solidFill>
                    <w14:schemeClr w14:val="tx1"/>
                  </w14:solidFill>
                </w14:textFill>
              </w:rPr>
            </w:pPr>
          </w:p>
        </w:tc>
        <w:tc>
          <w:tcPr>
            <w:tcW w:w="1276"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757"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694"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5</w:t>
            </w:r>
          </w:p>
        </w:tc>
        <w:tc>
          <w:tcPr>
            <w:tcW w:w="4801" w:type="dxa"/>
            <w:vAlign w:val="center"/>
          </w:tcPr>
          <w:p>
            <w:pPr>
              <w:spacing w:line="360" w:lineRule="auto"/>
              <w:jc w:val="left"/>
              <w:rPr>
                <w:rFonts w:ascii="宋体" w:hAnsi="宋体" w:eastAsia="宋体" w:cs="宋体"/>
                <w:color w:val="000000" w:themeColor="text1"/>
                <w:szCs w:val="21"/>
                <w14:textFill>
                  <w14:solidFill>
                    <w14:schemeClr w14:val="tx1"/>
                  </w14:solidFill>
                </w14:textFill>
              </w:rPr>
            </w:pPr>
          </w:p>
        </w:tc>
        <w:tc>
          <w:tcPr>
            <w:tcW w:w="1276"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757"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694"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6</w:t>
            </w:r>
          </w:p>
        </w:tc>
        <w:tc>
          <w:tcPr>
            <w:tcW w:w="4801" w:type="dxa"/>
            <w:vAlign w:val="center"/>
          </w:tcPr>
          <w:p>
            <w:pPr>
              <w:spacing w:line="360" w:lineRule="auto"/>
              <w:jc w:val="left"/>
              <w:rPr>
                <w:rFonts w:ascii="宋体" w:hAnsi="宋体" w:eastAsia="宋体" w:cs="宋体"/>
                <w:b/>
                <w:bCs/>
                <w:color w:val="000000" w:themeColor="text1"/>
                <w:szCs w:val="21"/>
                <w14:textFill>
                  <w14:solidFill>
                    <w14:schemeClr w14:val="tx1"/>
                  </w14:solidFill>
                </w14:textFill>
              </w:rPr>
            </w:pPr>
          </w:p>
        </w:tc>
        <w:tc>
          <w:tcPr>
            <w:tcW w:w="1276"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757"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94"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7</w:t>
            </w:r>
          </w:p>
        </w:tc>
        <w:tc>
          <w:tcPr>
            <w:tcW w:w="4801" w:type="dxa"/>
            <w:vAlign w:val="center"/>
          </w:tcPr>
          <w:p>
            <w:pPr>
              <w:spacing w:line="360" w:lineRule="auto"/>
              <w:jc w:val="left"/>
              <w:rPr>
                <w:rFonts w:ascii="宋体" w:hAnsi="宋体" w:eastAsia="宋体" w:cs="宋体"/>
                <w:color w:val="000000" w:themeColor="text1"/>
                <w:szCs w:val="21"/>
                <w14:textFill>
                  <w14:solidFill>
                    <w14:schemeClr w14:val="tx1"/>
                  </w14:solidFill>
                </w14:textFill>
              </w:rPr>
            </w:pPr>
          </w:p>
        </w:tc>
        <w:tc>
          <w:tcPr>
            <w:tcW w:w="1276"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757"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694"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8</w:t>
            </w:r>
          </w:p>
        </w:tc>
        <w:tc>
          <w:tcPr>
            <w:tcW w:w="4801" w:type="dxa"/>
            <w:vAlign w:val="center"/>
          </w:tcPr>
          <w:p>
            <w:pPr>
              <w:spacing w:line="360" w:lineRule="auto"/>
              <w:jc w:val="left"/>
              <w:rPr>
                <w:rFonts w:ascii="宋体" w:hAnsi="宋体" w:eastAsia="宋体" w:cs="宋体"/>
                <w:color w:val="000000" w:themeColor="text1"/>
                <w:szCs w:val="21"/>
                <w14:textFill>
                  <w14:solidFill>
                    <w14:schemeClr w14:val="tx1"/>
                  </w14:solidFill>
                </w14:textFill>
              </w:rPr>
            </w:pPr>
          </w:p>
        </w:tc>
        <w:tc>
          <w:tcPr>
            <w:tcW w:w="1276"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757"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694" w:type="dxa"/>
            <w:vAlign w:val="center"/>
          </w:tcPr>
          <w:p>
            <w:pPr>
              <w:spacing w:line="360" w:lineRule="auto"/>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9</w:t>
            </w:r>
          </w:p>
        </w:tc>
        <w:tc>
          <w:tcPr>
            <w:tcW w:w="4801" w:type="dxa"/>
            <w:vAlign w:val="center"/>
          </w:tcPr>
          <w:p>
            <w:pPr>
              <w:spacing w:line="360" w:lineRule="auto"/>
              <w:jc w:val="left"/>
              <w:rPr>
                <w:rFonts w:ascii="宋体" w:hAnsi="宋体" w:eastAsia="宋体" w:cs="宋体"/>
                <w:bCs/>
                <w:color w:val="000000" w:themeColor="text1"/>
                <w:szCs w:val="21"/>
                <w14:textFill>
                  <w14:solidFill>
                    <w14:schemeClr w14:val="tx1"/>
                  </w14:solidFill>
                </w14:textFill>
              </w:rPr>
            </w:pPr>
          </w:p>
        </w:tc>
        <w:tc>
          <w:tcPr>
            <w:tcW w:w="1276"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c>
          <w:tcPr>
            <w:tcW w:w="1757"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p>
        </w:tc>
      </w:tr>
    </w:tbl>
    <w:p>
      <w:pPr>
        <w:spacing w:before="156" w:beforeLines="5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注明：</w:t>
      </w:r>
    </w:p>
    <w:p>
      <w:pPr>
        <w:pStyle w:val="29"/>
        <w:numPr>
          <w:ilvl w:val="0"/>
          <w:numId w:val="50"/>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自查结论处请填写：通过/不通过；</w:t>
      </w:r>
    </w:p>
    <w:p>
      <w:pPr>
        <w:pStyle w:val="29"/>
        <w:numPr>
          <w:ilvl w:val="0"/>
          <w:numId w:val="50"/>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按招标文件第四部分 评标方法、步骤、标准之符合性审查表(附表二)相对应条款填写</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（此表格建议投标人认真填写。）</w:t>
      </w:r>
    </w:p>
    <w:p>
      <w:pPr>
        <w:pStyle w:val="33"/>
        <w:spacing w:before="312" w:beforeLines="100" w:line="360" w:lineRule="auto"/>
        <w:ind w:firstLine="0" w:firstLineChars="0"/>
        <w:rPr>
          <w:rFonts w:ascii="宋体" w:eastAsia="宋体" w:cs="宋体"/>
          <w:b/>
          <w:color w:val="000000" w:themeColor="text1"/>
          <w:sz w:val="21"/>
          <w:szCs w:val="21"/>
          <w14:textFill>
            <w14:solidFill>
              <w14:schemeClr w14:val="tx1"/>
            </w14:solidFill>
          </w14:textFill>
        </w:rPr>
      </w:pPr>
    </w:p>
    <w:p>
      <w:pPr>
        <w:pStyle w:val="33"/>
        <w:spacing w:before="312" w:beforeLines="100" w:line="360" w:lineRule="auto"/>
        <w:ind w:firstLine="0" w:firstLineChars="0"/>
        <w:rPr>
          <w:rFonts w:ascii="宋体" w:eastAsia="宋体" w:cs="宋体"/>
          <w:b/>
          <w:color w:val="000000" w:themeColor="text1"/>
          <w:sz w:val="21"/>
          <w:szCs w:val="21"/>
          <w14:textFill>
            <w14:solidFill>
              <w14:schemeClr w14:val="tx1"/>
            </w14:solidFill>
          </w14:textFill>
        </w:rPr>
      </w:pPr>
    </w:p>
    <w:p>
      <w:pPr>
        <w:pStyle w:val="33"/>
        <w:spacing w:before="312" w:beforeLines="100" w:line="360" w:lineRule="auto"/>
        <w:ind w:firstLine="0" w:firstLineChars="0"/>
        <w:rPr>
          <w:rFonts w:ascii="宋体" w:eastAsia="宋体" w:cs="宋体"/>
          <w:b/>
          <w:color w:val="000000" w:themeColor="text1"/>
          <w:sz w:val="21"/>
          <w:szCs w:val="21"/>
          <w14:textFill>
            <w14:solidFill>
              <w14:schemeClr w14:val="tx1"/>
            </w14:solidFill>
          </w14:textFill>
        </w:rPr>
      </w:pPr>
    </w:p>
    <w:p>
      <w:pPr>
        <w:spacing w:before="312" w:beforeLines="100" w:after="312" w:afterLines="100"/>
        <w:jc w:val="center"/>
        <w:rPr>
          <w:rFonts w:ascii="宋体" w:hAnsi="宋体" w:eastAsia="宋体" w:cs="宋体"/>
          <w:b/>
          <w:color w:val="000000" w:themeColor="text1"/>
          <w:spacing w:val="20"/>
          <w:sz w:val="28"/>
          <w:szCs w:val="28"/>
          <w14:textFill>
            <w14:solidFill>
              <w14:schemeClr w14:val="tx1"/>
            </w14:solidFill>
          </w14:textFill>
        </w:rPr>
      </w:pPr>
      <w:r>
        <w:rPr>
          <w:rFonts w:hint="eastAsia" w:ascii="宋体" w:hAnsi="宋体" w:eastAsia="宋体" w:cs="宋体"/>
          <w:b/>
          <w:color w:val="000000" w:themeColor="text1"/>
          <w:spacing w:val="20"/>
          <w:sz w:val="28"/>
          <w:szCs w:val="28"/>
          <w14:textFill>
            <w14:solidFill>
              <w14:schemeClr w14:val="tx1"/>
            </w14:solidFill>
          </w14:textFill>
        </w:rPr>
        <w:t>详细评审索引表</w:t>
      </w:r>
    </w:p>
    <w:tbl>
      <w:tblPr>
        <w:tblStyle w:val="20"/>
        <w:tblW w:w="84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551"/>
        <w:gridCol w:w="338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8482" w:type="dxa"/>
            <w:gridSpan w:val="4"/>
            <w:vAlign w:val="center"/>
          </w:tcPr>
          <w:p>
            <w:p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 xml:space="preserve">项目名称：                                  </w:t>
            </w:r>
            <w:r>
              <w:rPr>
                <w:rFonts w:hint="eastAsia" w:ascii="宋体" w:hAnsi="宋体" w:eastAsia="宋体" w:cs="宋体"/>
                <w:b/>
                <w:color w:val="000000" w:themeColor="text1"/>
                <w:szCs w:val="21"/>
                <w14:textFill>
                  <w14:solidFill>
                    <w14:schemeClr w14:val="tx1"/>
                  </w14:solidFill>
                </w14:textFill>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2" w:type="dxa"/>
            <w:gridSpan w:val="4"/>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商务评审细则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序号</w:t>
            </w:r>
          </w:p>
        </w:tc>
        <w:tc>
          <w:tcPr>
            <w:tcW w:w="1551"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评分内容</w:t>
            </w:r>
          </w:p>
        </w:tc>
        <w:tc>
          <w:tcPr>
            <w:tcW w:w="3382"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评分标准</w:t>
            </w:r>
          </w:p>
        </w:tc>
        <w:tc>
          <w:tcPr>
            <w:tcW w:w="2452"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bCs/>
                <w:color w:val="000000" w:themeColor="text1"/>
                <w:spacing w:val="-10"/>
                <w:szCs w:val="21"/>
                <w14:textFill>
                  <w14:solidFill>
                    <w14:schemeClr w14:val="tx1"/>
                  </w14:solidFill>
                </w14:textFill>
              </w:rPr>
              <w:t>商务技术/价格</w:t>
            </w:r>
            <w:r>
              <w:rPr>
                <w:rFonts w:hint="eastAsia" w:ascii="宋体" w:hAnsi="宋体" w:eastAsia="宋体" w:cs="宋体"/>
                <w:b/>
                <w:color w:val="000000" w:themeColor="text1"/>
                <w:szCs w:val="21"/>
                <w14:textFill>
                  <w14:solidFill>
                    <w14:schemeClr w14:val="tx1"/>
                  </w14:solidFill>
                </w14:textFill>
              </w:rPr>
              <w:t>投标文件响应页码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1551"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3382"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2452"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1551"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3382"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2452"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1551"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3382"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2452"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1551"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3382"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2452"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2" w:type="dxa"/>
            <w:gridSpan w:val="4"/>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技术评审细则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序号</w:t>
            </w:r>
          </w:p>
        </w:tc>
        <w:tc>
          <w:tcPr>
            <w:tcW w:w="1551"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评分内容</w:t>
            </w:r>
          </w:p>
        </w:tc>
        <w:tc>
          <w:tcPr>
            <w:tcW w:w="3382"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评分标准</w:t>
            </w:r>
          </w:p>
        </w:tc>
        <w:tc>
          <w:tcPr>
            <w:tcW w:w="2452"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bCs/>
                <w:color w:val="000000" w:themeColor="text1"/>
                <w:spacing w:val="-10"/>
                <w:szCs w:val="21"/>
                <w14:textFill>
                  <w14:solidFill>
                    <w14:schemeClr w14:val="tx1"/>
                  </w14:solidFill>
                </w14:textFill>
              </w:rPr>
              <w:t>商务技术/价格</w:t>
            </w:r>
            <w:r>
              <w:rPr>
                <w:rFonts w:hint="eastAsia" w:ascii="宋体" w:hAnsi="宋体" w:eastAsia="宋体" w:cs="宋体"/>
                <w:b/>
                <w:color w:val="000000" w:themeColor="text1"/>
                <w:szCs w:val="21"/>
                <w14:textFill>
                  <w14:solidFill>
                    <w14:schemeClr w14:val="tx1"/>
                  </w14:solidFill>
                </w14:textFill>
              </w:rPr>
              <w:t>投标文件响应页码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1551"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3382"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2452"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1551"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3382"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2452"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1551"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3382"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2452"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1551"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3382"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2452"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1551"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3382"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2452"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1551"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3382"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c>
          <w:tcPr>
            <w:tcW w:w="2452" w:type="dxa"/>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p>
        </w:tc>
      </w:tr>
    </w:tbl>
    <w:p>
      <w:pPr>
        <w:spacing w:before="156" w:beforeLines="5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注明：按招标文件第四部分 评标方法、步骤、标准之附表三详细评审表相对应条款填写。（此表格建议投标人认真填写。）</w:t>
      </w:r>
    </w:p>
    <w:p>
      <w:pPr>
        <w:pStyle w:val="33"/>
        <w:spacing w:before="312" w:beforeLines="100" w:line="360" w:lineRule="auto"/>
        <w:ind w:firstLine="0" w:firstLineChars="0"/>
        <w:rPr>
          <w:rFonts w:ascii="宋体" w:eastAsia="宋体" w:cs="宋体"/>
          <w:b/>
          <w:color w:val="000000" w:themeColor="text1"/>
          <w:sz w:val="21"/>
          <w:szCs w:val="21"/>
          <w14:textFill>
            <w14:solidFill>
              <w14:schemeClr w14:val="tx1"/>
            </w14:solidFill>
          </w14:textFill>
        </w:rPr>
      </w:pPr>
    </w:p>
    <w:p>
      <w:pPr>
        <w:pStyle w:val="33"/>
        <w:spacing w:before="312" w:beforeLines="100" w:line="360" w:lineRule="auto"/>
        <w:ind w:firstLine="0" w:firstLineChars="0"/>
        <w:rPr>
          <w:rFonts w:ascii="宋体" w:eastAsia="宋体" w:cs="宋体"/>
          <w:b/>
          <w:color w:val="000000" w:themeColor="text1"/>
          <w:sz w:val="21"/>
          <w:szCs w:val="21"/>
          <w14:textFill>
            <w14:solidFill>
              <w14:schemeClr w14:val="tx1"/>
            </w14:solidFill>
          </w14:textFill>
        </w:rPr>
      </w:pPr>
    </w:p>
    <w:p>
      <w:pPr>
        <w:pStyle w:val="33"/>
        <w:spacing w:before="312" w:beforeLines="100" w:line="360" w:lineRule="auto"/>
        <w:ind w:firstLine="0" w:firstLineChars="0"/>
        <w:rPr>
          <w:rFonts w:ascii="宋体" w:eastAsia="宋体" w:cs="宋体"/>
          <w:b/>
          <w:color w:val="000000" w:themeColor="text1"/>
          <w:sz w:val="21"/>
          <w:szCs w:val="21"/>
          <w14:textFill>
            <w14:solidFill>
              <w14:schemeClr w14:val="tx1"/>
            </w14:solidFill>
          </w14:textFill>
        </w:rPr>
      </w:pPr>
    </w:p>
    <w:p>
      <w:pPr>
        <w:pStyle w:val="33"/>
        <w:spacing w:before="312" w:beforeLines="100" w:line="360" w:lineRule="auto"/>
        <w:ind w:firstLine="0" w:firstLineChars="0"/>
        <w:rPr>
          <w:rFonts w:ascii="宋体" w:eastAsia="宋体" w:cs="宋体"/>
          <w:b/>
          <w:color w:val="000000" w:themeColor="text1"/>
          <w:sz w:val="21"/>
          <w:szCs w:val="21"/>
          <w14:textFill>
            <w14:solidFill>
              <w14:schemeClr w14:val="tx1"/>
            </w14:solidFill>
          </w14:textFill>
        </w:rPr>
      </w:pPr>
    </w:p>
    <w:p>
      <w:pPr>
        <w:pStyle w:val="33"/>
        <w:spacing w:before="312" w:beforeLines="100" w:line="360" w:lineRule="auto"/>
        <w:ind w:firstLine="0" w:firstLineChars="0"/>
        <w:rPr>
          <w:rFonts w:ascii="宋体" w:eastAsia="宋体" w:cs="宋体"/>
          <w:b/>
          <w:color w:val="000000" w:themeColor="text1"/>
          <w:sz w:val="21"/>
          <w:szCs w:val="21"/>
          <w14:textFill>
            <w14:solidFill>
              <w14:schemeClr w14:val="tx1"/>
            </w14:solidFill>
          </w14:textFill>
        </w:rPr>
      </w:pPr>
      <w:r>
        <w:rPr>
          <w:rFonts w:hint="eastAsia" w:ascii="宋体" w:eastAsia="宋体" w:cs="宋体"/>
          <w:b/>
          <w:color w:val="000000" w:themeColor="text1"/>
          <w:sz w:val="21"/>
          <w:szCs w:val="21"/>
          <w14:textFill>
            <w14:solidFill>
              <w14:schemeClr w14:val="tx1"/>
            </w14:solidFill>
          </w14:textFill>
        </w:rPr>
        <w:t xml:space="preserve">第一章 商务文件 </w:t>
      </w:r>
    </w:p>
    <w:p>
      <w:pPr>
        <w:pStyle w:val="33"/>
        <w:spacing w:line="460" w:lineRule="exact"/>
        <w:ind w:firstLine="0" w:firstLineChars="0"/>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1、投标函（附件2-1）</w:t>
      </w:r>
    </w:p>
    <w:p>
      <w:pPr>
        <w:pStyle w:val="33"/>
        <w:spacing w:line="460" w:lineRule="exact"/>
        <w:ind w:firstLine="0" w:firstLineChars="0"/>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2、法定代表人身份证明书（附件2-2）</w:t>
      </w:r>
    </w:p>
    <w:p>
      <w:pPr>
        <w:pStyle w:val="33"/>
        <w:spacing w:line="460" w:lineRule="exact"/>
        <w:ind w:firstLine="0" w:firstLineChars="0"/>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3、法定代表人授权委托书（附件2-3）</w:t>
      </w:r>
    </w:p>
    <w:p>
      <w:pPr>
        <w:pStyle w:val="33"/>
        <w:spacing w:line="460" w:lineRule="exact"/>
        <w:ind w:firstLine="0" w:firstLineChars="0"/>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4、资格声明（附件2-4）</w:t>
      </w:r>
    </w:p>
    <w:p>
      <w:pPr>
        <w:pStyle w:val="34"/>
        <w:spacing w:line="460" w:lineRule="exact"/>
        <w:ind w:firstLine="0"/>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5、投标人基本情况（包括但不限于下述资料）</w:t>
      </w:r>
    </w:p>
    <w:p>
      <w:pPr>
        <w:pStyle w:val="34"/>
        <w:spacing w:line="460" w:lineRule="exact"/>
        <w:ind w:firstLine="0"/>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5.1投标人基本情况说明（附件2-5）</w:t>
      </w:r>
    </w:p>
    <w:p>
      <w:pPr>
        <w:pStyle w:val="34"/>
        <w:spacing w:line="460" w:lineRule="exact"/>
        <w:ind w:firstLine="0"/>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5.2投标人资格证明文件（包括但不限于营业执照或事业单位法人证书、税务登记证、组织机构代码证、银行开户许可证、合格投标人特定资格要求的证明资料复印件）</w:t>
      </w:r>
    </w:p>
    <w:p>
      <w:pPr>
        <w:pStyle w:val="34"/>
        <w:spacing w:line="460" w:lineRule="exact"/>
        <w:ind w:firstLine="0"/>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5.3投标人的认证、信誉、获奖情况（如有）</w:t>
      </w:r>
    </w:p>
    <w:p>
      <w:pPr>
        <w:pStyle w:val="33"/>
        <w:spacing w:line="460" w:lineRule="exact"/>
        <w:ind w:firstLine="0" w:firstLineChars="0"/>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6、承诺书（附件2-6）</w:t>
      </w:r>
    </w:p>
    <w:p>
      <w:pPr>
        <w:pStyle w:val="33"/>
        <w:spacing w:line="460" w:lineRule="exact"/>
        <w:ind w:firstLine="0" w:firstLineChars="0"/>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7、商务差异表（附件2-7）</w:t>
      </w:r>
    </w:p>
    <w:p>
      <w:pPr>
        <w:pStyle w:val="33"/>
        <w:spacing w:line="460" w:lineRule="exact"/>
        <w:ind w:firstLine="0" w:firstLineChars="0"/>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8、业绩表（附件2-8）</w:t>
      </w:r>
    </w:p>
    <w:p>
      <w:pPr>
        <w:pStyle w:val="33"/>
        <w:spacing w:line="460" w:lineRule="exact"/>
        <w:ind w:firstLine="0" w:firstLineChars="0"/>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9、售后服务机构相关证明文件（如有）</w:t>
      </w:r>
    </w:p>
    <w:p>
      <w:pPr>
        <w:pStyle w:val="33"/>
        <w:spacing w:line="460" w:lineRule="exact"/>
        <w:ind w:firstLine="0" w:firstLineChars="0"/>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10、资料、证件原件核查承诺书（附件2-9）</w:t>
      </w:r>
    </w:p>
    <w:p>
      <w:pPr>
        <w:pStyle w:val="34"/>
        <w:spacing w:line="460" w:lineRule="exact"/>
        <w:ind w:firstLine="0"/>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11、</w:t>
      </w:r>
      <w:r>
        <w:rPr>
          <w:rFonts w:hint="eastAsia" w:cs="宋体"/>
          <w:color w:val="000000" w:themeColor="text1"/>
          <w:spacing w:val="-4"/>
          <w:sz w:val="21"/>
          <w:szCs w:val="21"/>
          <w14:textFill>
            <w14:solidFill>
              <w14:schemeClr w14:val="tx1"/>
            </w14:solidFill>
          </w14:textFill>
        </w:rPr>
        <w:t>实质性响应一览表</w:t>
      </w:r>
      <w:r>
        <w:rPr>
          <w:rFonts w:hint="eastAsia" w:cs="宋体"/>
          <w:color w:val="000000" w:themeColor="text1"/>
          <w:sz w:val="21"/>
          <w:szCs w:val="21"/>
          <w14:textFill>
            <w14:solidFill>
              <w14:schemeClr w14:val="tx1"/>
            </w14:solidFill>
          </w14:textFill>
        </w:rPr>
        <w:t>（附件2-10）</w:t>
      </w:r>
    </w:p>
    <w:p>
      <w:pPr>
        <w:pStyle w:val="34"/>
        <w:spacing w:line="460" w:lineRule="exact"/>
        <w:ind w:firstLine="0"/>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12、</w:t>
      </w:r>
      <w:r>
        <w:rPr>
          <w:rFonts w:hint="eastAsia" w:cs="宋体"/>
          <w:color w:val="000000" w:themeColor="text1"/>
          <w:spacing w:val="-4"/>
          <w:sz w:val="21"/>
          <w:szCs w:val="21"/>
          <w14:textFill>
            <w14:solidFill>
              <w14:schemeClr w14:val="tx1"/>
            </w14:solidFill>
          </w14:textFill>
        </w:rPr>
        <w:t>重点条款明细响应表</w:t>
      </w:r>
      <w:r>
        <w:rPr>
          <w:rFonts w:hint="eastAsia" w:cs="宋体"/>
          <w:color w:val="000000" w:themeColor="text1"/>
          <w:sz w:val="21"/>
          <w:szCs w:val="21"/>
          <w14:textFill>
            <w14:solidFill>
              <w14:schemeClr w14:val="tx1"/>
            </w14:solidFill>
          </w14:textFill>
        </w:rPr>
        <w:t>（附件2-11）</w:t>
      </w:r>
    </w:p>
    <w:p>
      <w:pPr>
        <w:pStyle w:val="34"/>
        <w:spacing w:line="460" w:lineRule="exact"/>
        <w:ind w:firstLine="0"/>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13、投标人认为需要提供的其他资料（如有）</w:t>
      </w:r>
    </w:p>
    <w:p>
      <w:pPr>
        <w:pStyle w:val="33"/>
        <w:spacing w:before="312" w:beforeLines="100" w:after="62" w:afterLines="20" w:line="360" w:lineRule="auto"/>
        <w:ind w:firstLine="0" w:firstLineChars="0"/>
        <w:rPr>
          <w:rFonts w:ascii="宋体" w:eastAsia="宋体" w:cs="宋体"/>
          <w:b/>
          <w:color w:val="000000" w:themeColor="text1"/>
          <w:sz w:val="21"/>
          <w:szCs w:val="21"/>
          <w14:textFill>
            <w14:solidFill>
              <w14:schemeClr w14:val="tx1"/>
            </w14:solidFill>
          </w14:textFill>
        </w:rPr>
      </w:pPr>
      <w:r>
        <w:rPr>
          <w:rFonts w:hint="eastAsia" w:ascii="宋体" w:eastAsia="宋体" w:cs="宋体"/>
          <w:b/>
          <w:color w:val="000000" w:themeColor="text1"/>
          <w:sz w:val="21"/>
          <w:szCs w:val="21"/>
          <w14:textFill>
            <w14:solidFill>
              <w14:schemeClr w14:val="tx1"/>
            </w14:solidFill>
          </w14:textFill>
        </w:rPr>
        <w:t>第二章 技术文件</w:t>
      </w:r>
    </w:p>
    <w:p>
      <w:pPr>
        <w:pStyle w:val="29"/>
        <w:numPr>
          <w:ilvl w:val="1"/>
          <w:numId w:val="51"/>
        </w:numPr>
        <w:spacing w:line="460" w:lineRule="exact"/>
        <w:ind w:left="426"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技术参数差异表（附件2-12）</w:t>
      </w:r>
    </w:p>
    <w:p>
      <w:pPr>
        <w:pStyle w:val="29"/>
        <w:numPr>
          <w:ilvl w:val="1"/>
          <w:numId w:val="51"/>
        </w:numPr>
        <w:spacing w:line="460" w:lineRule="exact"/>
        <w:ind w:left="426"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投标技术力量（投标人自行编写）</w:t>
      </w:r>
    </w:p>
    <w:p>
      <w:pPr>
        <w:pStyle w:val="29"/>
        <w:numPr>
          <w:ilvl w:val="1"/>
          <w:numId w:val="51"/>
        </w:numPr>
        <w:spacing w:line="460" w:lineRule="exact"/>
        <w:ind w:left="426"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项目服务人员配置情况表（附件2-13）</w:t>
      </w:r>
    </w:p>
    <w:p>
      <w:pPr>
        <w:pStyle w:val="29"/>
        <w:numPr>
          <w:ilvl w:val="1"/>
          <w:numId w:val="51"/>
        </w:numPr>
        <w:spacing w:line="460" w:lineRule="exact"/>
        <w:ind w:left="426"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拟担任本项目主要负责人简历表（附件2-14）</w:t>
      </w:r>
    </w:p>
    <w:p>
      <w:pPr>
        <w:pStyle w:val="29"/>
        <w:numPr>
          <w:ilvl w:val="1"/>
          <w:numId w:val="51"/>
        </w:numPr>
        <w:spacing w:line="460" w:lineRule="exact"/>
        <w:ind w:left="426"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拟投入本项目服务设备设施情况表（附件2-15）</w:t>
      </w:r>
    </w:p>
    <w:p>
      <w:pPr>
        <w:pStyle w:val="29"/>
        <w:numPr>
          <w:ilvl w:val="1"/>
          <w:numId w:val="51"/>
        </w:numPr>
        <w:spacing w:line="460" w:lineRule="exact"/>
        <w:ind w:left="426"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项目实施方案</w:t>
      </w:r>
      <w:r>
        <w:rPr>
          <w:rFonts w:hint="eastAsia" w:ascii="宋体" w:hAnsi="宋体" w:eastAsia="宋体" w:cs="宋体"/>
          <w:color w:val="000000" w:themeColor="text1"/>
          <w:szCs w:val="21"/>
          <w14:textFill>
            <w14:solidFill>
              <w14:schemeClr w14:val="tx1"/>
            </w14:solidFill>
          </w14:textFill>
        </w:rPr>
        <w:t>（投标人自行编写）</w:t>
      </w:r>
    </w:p>
    <w:p>
      <w:pPr>
        <w:pStyle w:val="29"/>
        <w:numPr>
          <w:ilvl w:val="1"/>
          <w:numId w:val="51"/>
        </w:numPr>
        <w:spacing w:line="460" w:lineRule="exact"/>
        <w:ind w:left="426"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投标人认为需要提供的其他资料（如有）</w:t>
      </w:r>
    </w:p>
    <w:p>
      <w:pPr>
        <w:pStyle w:val="4"/>
        <w:keepNext w:val="0"/>
        <w:keepLines w:val="0"/>
        <w:pageBreakBefore/>
        <w:spacing w:after="220" w:line="415" w:lineRule="auto"/>
        <w:jc w:val="left"/>
        <w:rPr>
          <w:rStyle w:val="23"/>
          <w:rFonts w:ascii="宋体" w:hAnsi="宋体" w:eastAsia="宋体" w:cs="宋体"/>
          <w:b/>
          <w:bCs w:val="0"/>
          <w:color w:val="000000" w:themeColor="text1"/>
          <w:spacing w:val="12"/>
          <w:sz w:val="21"/>
          <w14:textFill>
            <w14:solidFill>
              <w14:schemeClr w14:val="tx1"/>
            </w14:solidFill>
          </w14:textFill>
        </w:rPr>
      </w:pPr>
      <w:bookmarkStart w:id="131" w:name="_Toc32732"/>
      <w:bookmarkStart w:id="132" w:name="_Toc405313961"/>
      <w:bookmarkStart w:id="133" w:name="_Toc391627757"/>
      <w:r>
        <w:rPr>
          <w:rStyle w:val="23"/>
          <w:rFonts w:hint="eastAsia" w:ascii="宋体" w:hAnsi="宋体" w:eastAsia="宋体" w:cs="宋体"/>
          <w:b/>
          <w:bCs w:val="0"/>
          <w:color w:val="000000" w:themeColor="text1"/>
          <w:spacing w:val="12"/>
          <w:sz w:val="21"/>
          <w14:textFill>
            <w14:solidFill>
              <w14:schemeClr w14:val="tx1"/>
            </w14:solidFill>
          </w14:textFill>
        </w:rPr>
        <w:t xml:space="preserve">附件2-1  </w:t>
      </w:r>
      <w:r>
        <w:rPr>
          <w:rStyle w:val="23"/>
          <w:rFonts w:hint="eastAsia" w:ascii="宋体" w:hAnsi="宋体" w:eastAsia="宋体" w:cs="宋体"/>
          <w:b/>
          <w:bCs w:val="0"/>
          <w:color w:val="000000" w:themeColor="text1"/>
          <w:spacing w:val="12"/>
          <w:sz w:val="21"/>
          <w:szCs w:val="21"/>
          <w14:textFill>
            <w14:solidFill>
              <w14:schemeClr w14:val="tx1"/>
            </w14:solidFill>
          </w14:textFill>
        </w:rPr>
        <w:t>投标函</w:t>
      </w:r>
      <w:bookmarkEnd w:id="131"/>
      <w:bookmarkEnd w:id="132"/>
      <w:bookmarkEnd w:id="133"/>
    </w:p>
    <w:p>
      <w:pPr>
        <w:jc w:val="center"/>
        <w:rPr>
          <w:rFonts w:ascii="宋体" w:hAnsi="宋体" w:eastAsia="宋体" w:cs="宋体"/>
          <w:b/>
          <w:color w:val="000000" w:themeColor="text1"/>
          <w:spacing w:val="20"/>
          <w:sz w:val="28"/>
          <w:szCs w:val="28"/>
          <w14:textFill>
            <w14:solidFill>
              <w14:schemeClr w14:val="tx1"/>
            </w14:solidFill>
          </w14:textFill>
        </w:rPr>
      </w:pPr>
      <w:r>
        <w:rPr>
          <w:rFonts w:hint="eastAsia" w:ascii="宋体" w:hAnsi="宋体" w:eastAsia="宋体" w:cs="宋体"/>
          <w:b/>
          <w:color w:val="000000" w:themeColor="text1"/>
          <w:spacing w:val="20"/>
          <w:sz w:val="28"/>
          <w:szCs w:val="28"/>
          <w14:textFill>
            <w14:solidFill>
              <w14:schemeClr w14:val="tx1"/>
            </w14:solidFill>
          </w14:textFill>
        </w:rPr>
        <w:t>投标函</w:t>
      </w:r>
    </w:p>
    <w:p>
      <w:pPr>
        <w:spacing w:before="156" w:beforeLines="50" w:after="156" w:afterLines="50" w:line="360" w:lineRule="auto"/>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致：广东旭腾项目管理有限公司</w:t>
      </w:r>
    </w:p>
    <w:p>
      <w:pPr>
        <w:autoSpaceDE w:val="0"/>
        <w:autoSpaceDN w:val="0"/>
        <w:adjustRightInd w:val="0"/>
        <w:spacing w:line="360" w:lineRule="auto"/>
        <w:ind w:right="26" w:firstLine="420" w:firstLineChars="20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依据贵方</w:t>
      </w:r>
      <w:r>
        <w:rPr>
          <w:rFonts w:hint="eastAsia" w:ascii="宋体" w:hAnsi="宋体" w:eastAsia="宋体" w:cs="宋体"/>
          <w:b/>
          <w:color w:val="000000" w:themeColor="text1"/>
          <w:szCs w:val="21"/>
          <w:u w:val="single"/>
          <w14:textFill>
            <w14:solidFill>
              <w14:schemeClr w14:val="tx1"/>
            </w14:solidFill>
          </w14:textFill>
        </w:rPr>
        <w:t>项目名称</w:t>
      </w:r>
      <w:r>
        <w:rPr>
          <w:rFonts w:hint="eastAsia" w:ascii="宋体" w:hAnsi="宋体" w:eastAsia="宋体" w:cs="宋体"/>
          <w:color w:val="000000" w:themeColor="text1"/>
          <w:kern w:val="0"/>
          <w:szCs w:val="21"/>
          <w14:textFill>
            <w14:solidFill>
              <w14:schemeClr w14:val="tx1"/>
            </w14:solidFill>
          </w14:textFill>
        </w:rPr>
        <w:t>项目</w:t>
      </w:r>
      <w:r>
        <w:rPr>
          <w:rFonts w:hint="eastAsia" w:ascii="宋体" w:hAnsi="宋体" w:eastAsia="宋体" w:cs="宋体"/>
          <w:color w:val="000000" w:themeColor="text1"/>
          <w:szCs w:val="21"/>
          <w:u w:val="single"/>
          <w14:textFill>
            <w14:solidFill>
              <w14:schemeClr w14:val="tx1"/>
            </w14:solidFill>
          </w14:textFill>
        </w:rPr>
        <w:t>（</w:t>
      </w:r>
      <w:r>
        <w:rPr>
          <w:rFonts w:hint="eastAsia" w:ascii="宋体" w:hAnsi="宋体" w:eastAsia="宋体" w:cs="宋体"/>
          <w:b/>
          <w:color w:val="000000" w:themeColor="text1"/>
          <w:szCs w:val="21"/>
          <w:u w:val="single"/>
          <w14:textFill>
            <w14:solidFill>
              <w14:schemeClr w14:val="tx1"/>
            </w14:solidFill>
          </w14:textFill>
        </w:rPr>
        <w:t xml:space="preserve">项目编号：        </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t>招标采购货物及服务的投标邀请，我方代表</w:t>
      </w:r>
      <w:r>
        <w:rPr>
          <w:rFonts w:hint="eastAsia" w:ascii="宋体" w:hAnsi="宋体" w:eastAsia="宋体" w:cs="宋体"/>
          <w:color w:val="000000" w:themeColor="text1"/>
          <w:szCs w:val="21"/>
          <w:u w:val="single"/>
          <w14:textFill>
            <w14:solidFill>
              <w14:schemeClr w14:val="tx1"/>
            </w14:solidFill>
          </w14:textFill>
        </w:rPr>
        <w:t>（</w:t>
      </w:r>
      <w:r>
        <w:rPr>
          <w:rFonts w:hint="eastAsia" w:ascii="宋体" w:hAnsi="宋体" w:eastAsia="宋体" w:cs="宋体"/>
          <w:b/>
          <w:color w:val="000000" w:themeColor="text1"/>
          <w:szCs w:val="21"/>
          <w:u w:val="single"/>
          <w14:textFill>
            <w14:solidFill>
              <w14:schemeClr w14:val="tx1"/>
            </w14:solidFill>
          </w14:textFill>
        </w:rPr>
        <w:t>姓名、职务</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t>经正式授权并代表</w:t>
      </w:r>
      <w:r>
        <w:rPr>
          <w:rFonts w:hint="eastAsia" w:ascii="宋体" w:hAnsi="宋体" w:eastAsia="宋体" w:cs="宋体"/>
          <w:color w:val="000000" w:themeColor="text1"/>
          <w:szCs w:val="21"/>
          <w:u w:val="single"/>
          <w14:textFill>
            <w14:solidFill>
              <w14:schemeClr w14:val="tx1"/>
            </w14:solidFill>
          </w14:textFill>
        </w:rPr>
        <w:t>（</w:t>
      </w:r>
      <w:r>
        <w:rPr>
          <w:rFonts w:hint="eastAsia" w:ascii="宋体" w:hAnsi="宋体" w:eastAsia="宋体" w:cs="宋体"/>
          <w:b/>
          <w:color w:val="000000" w:themeColor="text1"/>
          <w:szCs w:val="21"/>
          <w:u w:val="single"/>
          <w14:textFill>
            <w14:solidFill>
              <w14:schemeClr w14:val="tx1"/>
            </w14:solidFill>
          </w14:textFill>
        </w:rPr>
        <w:t>投标人名称</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提交唱标信封一份、</w:t>
      </w:r>
      <w:r>
        <w:rPr>
          <w:rFonts w:hint="eastAsia" w:ascii="宋体" w:hAnsi="宋体" w:eastAsia="宋体" w:cs="宋体"/>
          <w:color w:val="000000" w:themeColor="text1"/>
          <w:kern w:val="0"/>
          <w:szCs w:val="21"/>
          <w14:textFill>
            <w14:solidFill>
              <w14:schemeClr w14:val="tx1"/>
            </w14:solidFill>
          </w14:textFill>
        </w:rPr>
        <w:t>投标文件(含价格文件、商务技术文件)各正本一份，副本</w:t>
      </w:r>
      <w:r>
        <w:rPr>
          <w:rFonts w:hint="eastAsia" w:ascii="宋体" w:hAnsi="宋体" w:eastAsia="宋体" w:cs="宋体"/>
          <w:color w:val="000000" w:themeColor="text1"/>
          <w:kern w:val="0"/>
          <w:szCs w:val="21"/>
          <w:u w:val="single"/>
          <w14:textFill>
            <w14:solidFill>
              <w14:schemeClr w14:val="tx1"/>
            </w14:solidFill>
          </w14:textFill>
        </w:rPr>
        <w:t xml:space="preserve"> （</w:t>
      </w:r>
      <w:r>
        <w:rPr>
          <w:rFonts w:hint="eastAsia" w:ascii="宋体" w:hAnsi="宋体" w:eastAsia="宋体" w:cs="宋体"/>
          <w:b/>
          <w:color w:val="000000" w:themeColor="text1"/>
          <w:kern w:val="0"/>
          <w:szCs w:val="21"/>
          <w:u w:val="single"/>
          <w14:textFill>
            <w14:solidFill>
              <w14:schemeClr w14:val="tx1"/>
            </w14:solidFill>
          </w14:textFill>
        </w:rPr>
        <w:t>详见投标须知前附表</w:t>
      </w:r>
      <w:r>
        <w:rPr>
          <w:rFonts w:hint="eastAsia" w:ascii="宋体" w:hAnsi="宋体" w:eastAsia="宋体" w:cs="宋体"/>
          <w:color w:val="000000" w:themeColor="text1"/>
          <w:kern w:val="0"/>
          <w:szCs w:val="21"/>
          <w:u w:val="single"/>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t>份。</w:t>
      </w:r>
    </w:p>
    <w:p>
      <w:pPr>
        <w:autoSpaceDE w:val="0"/>
        <w:autoSpaceDN w:val="0"/>
        <w:adjustRightInd w:val="0"/>
        <w:spacing w:line="360" w:lineRule="auto"/>
        <w:ind w:right="246"/>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在此，我方声明如下：</w:t>
      </w:r>
    </w:p>
    <w:p>
      <w:pPr>
        <w:pStyle w:val="29"/>
        <w:numPr>
          <w:ilvl w:val="0"/>
          <w:numId w:val="52"/>
        </w:numPr>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pacing w:val="-6"/>
          <w:szCs w:val="21"/>
          <w14:textFill>
            <w14:solidFill>
              <w14:schemeClr w14:val="tx1"/>
            </w14:solidFill>
          </w14:textFill>
        </w:rPr>
        <w:t>同意并接受招标文件的各项要求，遵守招标文件中的各项规定，按招标文件的要求提供报价</w:t>
      </w:r>
      <w:r>
        <w:rPr>
          <w:rFonts w:hint="eastAsia" w:ascii="宋体" w:hAnsi="宋体" w:eastAsia="宋体" w:cs="宋体"/>
          <w:color w:val="000000" w:themeColor="text1"/>
          <w:szCs w:val="21"/>
          <w14:textFill>
            <w14:solidFill>
              <w14:schemeClr w14:val="tx1"/>
            </w14:solidFill>
          </w14:textFill>
        </w:rPr>
        <w:t>。</w:t>
      </w:r>
    </w:p>
    <w:p>
      <w:pPr>
        <w:pStyle w:val="29"/>
        <w:numPr>
          <w:ilvl w:val="0"/>
          <w:numId w:val="52"/>
        </w:numPr>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投标有效期为递交投标文件之日起</w:t>
      </w:r>
      <w:r>
        <w:rPr>
          <w:rFonts w:hint="eastAsia" w:ascii="宋体" w:hAnsi="宋体" w:eastAsia="宋体" w:cs="宋体"/>
          <w:color w:val="000000" w:themeColor="text1"/>
          <w:szCs w:val="21"/>
          <w:u w:val="single"/>
          <w14:textFill>
            <w14:solidFill>
              <w14:schemeClr w14:val="tx1"/>
            </w14:solidFill>
          </w14:textFill>
        </w:rPr>
        <w:t>（</w:t>
      </w:r>
      <w:r>
        <w:rPr>
          <w:rFonts w:hint="eastAsia" w:ascii="宋体" w:hAnsi="宋体" w:eastAsia="宋体" w:cs="宋体"/>
          <w:b/>
          <w:color w:val="000000" w:themeColor="text1"/>
          <w:szCs w:val="21"/>
          <w:u w:val="single"/>
          <w14:textFill>
            <w14:solidFill>
              <w14:schemeClr w14:val="tx1"/>
            </w14:solidFill>
          </w14:textFill>
        </w:rPr>
        <w:t>详见投标须知前附表</w:t>
      </w:r>
      <w:r>
        <w:rPr>
          <w:rFonts w:hint="eastAsia" w:ascii="宋体" w:hAnsi="宋体" w:eastAsia="宋体" w:cs="宋体"/>
          <w:color w:val="000000" w:themeColor="text1"/>
          <w:szCs w:val="21"/>
          <w:u w:val="single"/>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天，中标人投标有效期延至合同验收之日。</w:t>
      </w:r>
    </w:p>
    <w:p>
      <w:pPr>
        <w:pStyle w:val="29"/>
        <w:numPr>
          <w:ilvl w:val="0"/>
          <w:numId w:val="52"/>
        </w:numPr>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我方已经详细地阅读了全部招标文件及其附件，包括澄清及参考文件(如果有的话)。我方已完全清晰理解招标文件的要求，不存在任何含糊不清和误解之处，同意放弃对这些文件所提出的异议和质疑的权利。</w:t>
      </w:r>
    </w:p>
    <w:p>
      <w:pPr>
        <w:pStyle w:val="29"/>
        <w:numPr>
          <w:ilvl w:val="0"/>
          <w:numId w:val="52"/>
        </w:numPr>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我方已毫无保留地向贵方提供一切所需的证明材料。</w:t>
      </w:r>
    </w:p>
    <w:p>
      <w:pPr>
        <w:pStyle w:val="29"/>
        <w:numPr>
          <w:ilvl w:val="0"/>
          <w:numId w:val="52"/>
        </w:numPr>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我方承诺在本次投标文件中提供的一切文件，无论是原件还是复印件均为真实和准确的，绝无任何虚假、伪造和夸大的成份，否则，愿承担相应的后果和法律责任。</w:t>
      </w:r>
    </w:p>
    <w:p>
      <w:pPr>
        <w:pStyle w:val="29"/>
        <w:numPr>
          <w:ilvl w:val="0"/>
          <w:numId w:val="52"/>
        </w:numPr>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我方完全服从和尊重评委会所作的评定结果，同时清楚理解到报价最低并非意味着必定获得中标资格。</w:t>
      </w:r>
    </w:p>
    <w:p>
      <w:pPr>
        <w:pStyle w:val="29"/>
        <w:numPr>
          <w:ilvl w:val="0"/>
          <w:numId w:val="52"/>
        </w:numPr>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我方同意按招标文件规定向采购代理机构缴纳中标服务费。</w:t>
      </w:r>
    </w:p>
    <w:p>
      <w:pPr>
        <w:pStyle w:val="29"/>
        <w:numPr>
          <w:ilvl w:val="0"/>
          <w:numId w:val="52"/>
        </w:numPr>
        <w:spacing w:after="468" w:afterLines="150"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服务期：</w:t>
      </w:r>
    </w:p>
    <w:tbl>
      <w:tblPr>
        <w:tblStyle w:val="21"/>
        <w:tblW w:w="852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264"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投标人地址：</w:t>
            </w:r>
          </w:p>
        </w:tc>
        <w:tc>
          <w:tcPr>
            <w:tcW w:w="4264"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邮编：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264"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联系电话：</w:t>
            </w:r>
          </w:p>
        </w:tc>
        <w:tc>
          <w:tcPr>
            <w:tcW w:w="4264"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264"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项目联系人：</w:t>
            </w:r>
          </w:p>
        </w:tc>
        <w:tc>
          <w:tcPr>
            <w:tcW w:w="4264"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528" w:type="dxa"/>
            <w:gridSpan w:val="2"/>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投标人名称（加盖公章）：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528" w:type="dxa"/>
            <w:gridSpan w:val="2"/>
          </w:tcPr>
          <w:p>
            <w:pPr>
              <w:spacing w:line="360" w:lineRule="auto"/>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投标人法定代表人或被授权人（签名或盖私章）：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528" w:type="dxa"/>
            <w:gridSpan w:val="2"/>
          </w:tcPr>
          <w:p>
            <w:pPr>
              <w:spacing w:line="360" w:lineRule="auto"/>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年        月         日</w:t>
            </w:r>
          </w:p>
        </w:tc>
      </w:tr>
    </w:tbl>
    <w:p>
      <w:pPr>
        <w:pStyle w:val="4"/>
        <w:keepNext w:val="0"/>
        <w:keepLines w:val="0"/>
        <w:pageBreakBefore/>
        <w:spacing w:line="415" w:lineRule="auto"/>
        <w:jc w:val="left"/>
        <w:rPr>
          <w:rStyle w:val="23"/>
          <w:rFonts w:ascii="宋体" w:hAnsi="宋体" w:eastAsia="宋体" w:cs="宋体"/>
          <w:b/>
          <w:bCs w:val="0"/>
          <w:color w:val="000000" w:themeColor="text1"/>
          <w:spacing w:val="12"/>
          <w:sz w:val="21"/>
          <w:szCs w:val="21"/>
          <w14:textFill>
            <w14:solidFill>
              <w14:schemeClr w14:val="tx1"/>
            </w14:solidFill>
          </w14:textFill>
        </w:rPr>
      </w:pPr>
      <w:bookmarkStart w:id="134" w:name="_Toc405313962"/>
      <w:bookmarkStart w:id="135" w:name="_Toc1691"/>
      <w:bookmarkStart w:id="136" w:name="_Toc391627758"/>
      <w:r>
        <w:rPr>
          <w:rStyle w:val="23"/>
          <w:rFonts w:hint="eastAsia" w:ascii="宋体" w:hAnsi="宋体" w:eastAsia="宋体" w:cs="宋体"/>
          <w:b/>
          <w:bCs w:val="0"/>
          <w:color w:val="000000" w:themeColor="text1"/>
          <w:spacing w:val="12"/>
          <w:sz w:val="21"/>
          <w:szCs w:val="21"/>
          <w14:textFill>
            <w14:solidFill>
              <w14:schemeClr w14:val="tx1"/>
            </w14:solidFill>
          </w14:textFill>
        </w:rPr>
        <w:t>附件2-2  法定代表人身份证明书</w:t>
      </w:r>
      <w:bookmarkEnd w:id="134"/>
      <w:bookmarkEnd w:id="135"/>
      <w:bookmarkEnd w:id="136"/>
    </w:p>
    <w:p>
      <w:pPr>
        <w:spacing w:line="360" w:lineRule="auto"/>
        <w:jc w:val="center"/>
        <w:rPr>
          <w:rFonts w:ascii="宋体" w:hAnsi="宋体" w:eastAsia="宋体" w:cs="宋体"/>
          <w:b/>
          <w:color w:val="000000" w:themeColor="text1"/>
          <w:spacing w:val="20"/>
          <w:sz w:val="28"/>
          <w:szCs w:val="28"/>
          <w14:textFill>
            <w14:solidFill>
              <w14:schemeClr w14:val="tx1"/>
            </w14:solidFill>
          </w14:textFill>
        </w:rPr>
      </w:pPr>
      <w:r>
        <w:rPr>
          <w:rFonts w:hint="eastAsia" w:ascii="宋体" w:hAnsi="宋体" w:eastAsia="宋体" w:cs="宋体"/>
          <w:b/>
          <w:color w:val="000000" w:themeColor="text1"/>
          <w:spacing w:val="20"/>
          <w:sz w:val="28"/>
          <w:szCs w:val="28"/>
          <w14:textFill>
            <w14:solidFill>
              <w14:schemeClr w14:val="tx1"/>
            </w14:solidFill>
          </w14:textFill>
        </w:rPr>
        <w:t>法定代表人身份证明书</w:t>
      </w:r>
    </w:p>
    <w:p>
      <w:pPr>
        <w:spacing w:before="312" w:beforeLines="100" w:after="156" w:afterLines="50" w:line="360" w:lineRule="auto"/>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致：广东旭腾项目管理有限公司</w:t>
      </w:r>
    </w:p>
    <w:tbl>
      <w:tblPr>
        <w:tblStyle w:val="21"/>
        <w:tblW w:w="852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02"/>
        <w:gridCol w:w="1462"/>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528" w:type="dxa"/>
            <w:gridSpan w:val="3"/>
          </w:tcPr>
          <w:p>
            <w:pPr>
              <w:spacing w:line="360" w:lineRule="auto"/>
              <w:ind w:firstLine="840" w:firstLineChars="4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同志，现任我单位     职务，为法定代表人，特此证明。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528" w:type="dxa"/>
            <w:gridSpan w:val="3"/>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528" w:type="dxa"/>
            <w:gridSpan w:val="3"/>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单位地址：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264" w:type="dxa"/>
            <w:gridSpan w:val="2"/>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代表人姓名：</w:t>
            </w:r>
          </w:p>
        </w:tc>
        <w:tc>
          <w:tcPr>
            <w:tcW w:w="4264"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代表人联系电话：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264" w:type="dxa"/>
            <w:gridSpan w:val="2"/>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代表人性别：</w:t>
            </w:r>
          </w:p>
        </w:tc>
        <w:tc>
          <w:tcPr>
            <w:tcW w:w="4264"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代表人年龄：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264" w:type="dxa"/>
            <w:gridSpan w:val="2"/>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代表人身份证号码：</w:t>
            </w:r>
          </w:p>
        </w:tc>
        <w:tc>
          <w:tcPr>
            <w:tcW w:w="4264" w:type="dxa"/>
          </w:tcPr>
          <w:p>
            <w:pPr>
              <w:spacing w:line="360" w:lineRule="auto"/>
              <w:rPr>
                <w:rFonts w:ascii="宋体" w:hAnsi="宋体" w:eastAsia="宋体" w:cs="宋体"/>
                <w:color w:val="000000" w:themeColor="text1"/>
                <w:spacing w:val="-8"/>
                <w:szCs w:val="21"/>
                <w14:textFill>
                  <w14:solidFill>
                    <w14:schemeClr w14:val="tx1"/>
                  </w14:solidFill>
                </w14:textFill>
              </w:rPr>
            </w:pPr>
            <w:r>
              <w:rPr>
                <w:rFonts w:hint="eastAsia" w:ascii="宋体" w:hAnsi="宋体" w:eastAsia="宋体" w:cs="宋体"/>
                <w:color w:val="000000" w:themeColor="text1"/>
                <w:spacing w:val="-8"/>
                <w:szCs w:val="21"/>
                <w14:textFill>
                  <w14:solidFill>
                    <w14:schemeClr w14:val="tx1"/>
                  </w14:solidFill>
                </w14:textFill>
              </w:rPr>
              <w:t>营业执照或事业单位法人证书号码：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264" w:type="dxa"/>
            <w:gridSpan w:val="2"/>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单位性质：</w:t>
            </w:r>
          </w:p>
        </w:tc>
        <w:tc>
          <w:tcPr>
            <w:tcW w:w="4264"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经营期限：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528" w:type="dxa"/>
            <w:gridSpan w:val="3"/>
          </w:tcPr>
          <w:p>
            <w:pPr>
              <w:spacing w:line="360" w:lineRule="auto"/>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主营（产）：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528" w:type="dxa"/>
            <w:gridSpan w:val="3"/>
          </w:tcPr>
          <w:p>
            <w:pPr>
              <w:spacing w:line="360" w:lineRule="auto"/>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兼营（产）：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528" w:type="dxa"/>
            <w:gridSpan w:val="3"/>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进口物品经营许可证号码：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jc w:val="center"/>
        </w:trPr>
        <w:tc>
          <w:tcPr>
            <w:tcW w:w="8528" w:type="dxa"/>
            <w:gridSpan w:val="3"/>
            <w:vAlign w:val="center"/>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特此证明！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528" w:type="dxa"/>
            <w:gridSpan w:val="3"/>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说明：</w:t>
            </w:r>
          </w:p>
          <w:p>
            <w:pPr>
              <w:pStyle w:val="29"/>
              <w:numPr>
                <w:ilvl w:val="0"/>
                <w:numId w:val="53"/>
              </w:numPr>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法定代表人为企业事业单位、国家机关、社会团体的主要行政负责人。</w:t>
            </w:r>
          </w:p>
          <w:p>
            <w:pPr>
              <w:pStyle w:val="29"/>
              <w:numPr>
                <w:ilvl w:val="0"/>
                <w:numId w:val="53"/>
              </w:numPr>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内容必须填写真实、清楚、涂改无效，不得转让。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4" w:hRule="atLeast"/>
          <w:jc w:val="center"/>
        </w:trPr>
        <w:tc>
          <w:tcPr>
            <w:tcW w:w="8528" w:type="dxa"/>
            <w:gridSpan w:val="3"/>
          </w:tcPr>
          <w:p>
            <w:pPr>
              <w:spacing w:line="360" w:lineRule="auto"/>
              <w:rPr>
                <w:rFonts w:ascii="宋体" w:hAnsi="宋体" w:eastAsia="宋体" w:cs="宋体"/>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802" w:type="dxa"/>
          </w:tcPr>
          <w:p>
            <w:pPr>
              <w:spacing w:line="360" w:lineRule="auto"/>
              <w:rPr>
                <w:rFonts w:ascii="宋体" w:hAnsi="宋体" w:eastAsia="宋体" w:cs="宋体"/>
                <w:color w:val="000000" w:themeColor="text1"/>
                <w:szCs w:val="21"/>
                <w14:textFill>
                  <w14:solidFill>
                    <w14:schemeClr w14:val="tx1"/>
                  </w14:solidFill>
                </w14:textFill>
              </w:rPr>
            </w:pPr>
          </w:p>
        </w:tc>
        <w:tc>
          <w:tcPr>
            <w:tcW w:w="5726" w:type="dxa"/>
            <w:gridSpan w:val="2"/>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投标人名称（加盖公章）：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802" w:type="dxa"/>
          </w:tcPr>
          <w:p>
            <w:pPr>
              <w:spacing w:line="360" w:lineRule="auto"/>
              <w:rPr>
                <w:rFonts w:ascii="宋体" w:hAnsi="宋体" w:eastAsia="宋体" w:cs="宋体"/>
                <w:color w:val="000000" w:themeColor="text1"/>
                <w:szCs w:val="21"/>
                <w14:textFill>
                  <w14:solidFill>
                    <w14:schemeClr w14:val="tx1"/>
                  </w14:solidFill>
                </w14:textFill>
              </w:rPr>
            </w:pPr>
          </w:p>
        </w:tc>
        <w:tc>
          <w:tcPr>
            <w:tcW w:w="5726" w:type="dxa"/>
            <w:gridSpan w:val="2"/>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法定代表人（签名或盖私章）：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802" w:type="dxa"/>
          </w:tcPr>
          <w:p>
            <w:pPr>
              <w:spacing w:line="360" w:lineRule="auto"/>
              <w:rPr>
                <w:rFonts w:ascii="宋体" w:hAnsi="宋体" w:eastAsia="宋体" w:cs="宋体"/>
                <w:color w:val="000000" w:themeColor="text1"/>
                <w:szCs w:val="21"/>
                <w14:textFill>
                  <w14:solidFill>
                    <w14:schemeClr w14:val="tx1"/>
                  </w14:solidFill>
                </w14:textFill>
              </w:rPr>
            </w:pPr>
          </w:p>
        </w:tc>
        <w:tc>
          <w:tcPr>
            <w:tcW w:w="5726" w:type="dxa"/>
            <w:gridSpan w:val="2"/>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年             月              日</w:t>
            </w:r>
          </w:p>
        </w:tc>
      </w:tr>
    </w:tbl>
    <w:p>
      <w:pPr>
        <w:spacing w:before="156" w:beforeLines="50" w:after="93" w:afterLines="30"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须附：法定代表人身份证复印件</w:t>
      </w:r>
    </w:p>
    <w:tbl>
      <w:tblPr>
        <w:tblStyle w:val="20"/>
        <w:tblW w:w="8528" w:type="dxa"/>
        <w:jc w:val="center"/>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64"/>
        <w:gridCol w:w="4264"/>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rPr>
          <w:trHeight w:val="1833" w:hRule="atLeast"/>
          <w:jc w:val="center"/>
        </w:trPr>
        <w:tc>
          <w:tcPr>
            <w:tcW w:w="4264" w:type="dxa"/>
            <w:vAlign w:val="center"/>
          </w:tcPr>
          <w:p>
            <w:pPr>
              <w:pStyle w:val="33"/>
              <w:spacing w:line="460" w:lineRule="exact"/>
              <w:ind w:firstLine="0" w:firstLineChars="0"/>
              <w:jc w:val="center"/>
              <w:rPr>
                <w:rFonts w:ascii="宋体" w:eastAsia="宋体" w:cs="宋体"/>
                <w:color w:val="000000" w:themeColor="text1"/>
                <w:sz w:val="22"/>
                <w:szCs w:val="22"/>
                <w14:textFill>
                  <w14:solidFill>
                    <w14:schemeClr w14:val="tx1"/>
                  </w14:solidFill>
                </w14:textFill>
              </w:rPr>
            </w:pPr>
            <w:r>
              <w:rPr>
                <w:rFonts w:hint="eastAsia" w:ascii="宋体" w:eastAsia="宋体" w:cs="宋体"/>
                <w:color w:val="000000" w:themeColor="text1"/>
                <w:sz w:val="22"/>
                <w:szCs w:val="22"/>
                <w14:textFill>
                  <w14:solidFill>
                    <w14:schemeClr w14:val="tx1"/>
                  </w14:solidFill>
                </w14:textFill>
              </w:rPr>
              <w:t>正面</w:t>
            </w:r>
          </w:p>
        </w:tc>
        <w:tc>
          <w:tcPr>
            <w:tcW w:w="4264" w:type="dxa"/>
            <w:vAlign w:val="center"/>
          </w:tcPr>
          <w:p>
            <w:pPr>
              <w:pStyle w:val="33"/>
              <w:spacing w:line="460" w:lineRule="exact"/>
              <w:ind w:firstLine="0" w:firstLineChars="0"/>
              <w:jc w:val="center"/>
              <w:rPr>
                <w:rFonts w:ascii="宋体" w:eastAsia="宋体" w:cs="宋体"/>
                <w:color w:val="000000" w:themeColor="text1"/>
                <w:sz w:val="22"/>
                <w:szCs w:val="22"/>
                <w14:textFill>
                  <w14:solidFill>
                    <w14:schemeClr w14:val="tx1"/>
                  </w14:solidFill>
                </w14:textFill>
              </w:rPr>
            </w:pPr>
            <w:r>
              <w:rPr>
                <w:rFonts w:hint="eastAsia" w:ascii="宋体" w:eastAsia="宋体" w:cs="宋体"/>
                <w:color w:val="000000" w:themeColor="text1"/>
                <w:sz w:val="22"/>
                <w:szCs w:val="22"/>
                <w14:textFill>
                  <w14:solidFill>
                    <w14:schemeClr w14:val="tx1"/>
                  </w14:solidFill>
                </w14:textFill>
              </w:rPr>
              <w:t>背面</w:t>
            </w:r>
          </w:p>
        </w:tc>
      </w:tr>
    </w:tbl>
    <w:p>
      <w:pPr>
        <w:pStyle w:val="4"/>
        <w:keepNext w:val="0"/>
        <w:keepLines w:val="0"/>
        <w:pageBreakBefore/>
        <w:spacing w:line="415" w:lineRule="auto"/>
        <w:jc w:val="left"/>
        <w:rPr>
          <w:rStyle w:val="23"/>
          <w:rFonts w:ascii="宋体" w:hAnsi="宋体" w:eastAsia="宋体" w:cs="宋体"/>
          <w:b/>
          <w:bCs w:val="0"/>
          <w:color w:val="000000" w:themeColor="text1"/>
          <w:spacing w:val="12"/>
          <w:sz w:val="21"/>
          <w14:textFill>
            <w14:solidFill>
              <w14:schemeClr w14:val="tx1"/>
            </w14:solidFill>
          </w14:textFill>
        </w:rPr>
      </w:pPr>
      <w:bookmarkStart w:id="137" w:name="_Toc391627759"/>
      <w:bookmarkStart w:id="138" w:name="_Toc13037"/>
      <w:bookmarkStart w:id="139" w:name="_Toc405313963"/>
      <w:r>
        <w:rPr>
          <w:rStyle w:val="23"/>
          <w:rFonts w:hint="eastAsia" w:ascii="宋体" w:hAnsi="宋体" w:eastAsia="宋体" w:cs="宋体"/>
          <w:b/>
          <w:bCs w:val="0"/>
          <w:color w:val="000000" w:themeColor="text1"/>
          <w:spacing w:val="12"/>
          <w:sz w:val="21"/>
          <w:szCs w:val="21"/>
          <w14:textFill>
            <w14:solidFill>
              <w14:schemeClr w14:val="tx1"/>
            </w14:solidFill>
          </w14:textFill>
        </w:rPr>
        <w:t>附件2-3  法定代表人授权委托书</w:t>
      </w:r>
      <w:bookmarkEnd w:id="137"/>
      <w:bookmarkEnd w:id="138"/>
      <w:bookmarkEnd w:id="139"/>
    </w:p>
    <w:p>
      <w:pPr>
        <w:spacing w:line="360" w:lineRule="auto"/>
        <w:jc w:val="center"/>
        <w:rPr>
          <w:rFonts w:ascii="宋体" w:hAnsi="宋体" w:eastAsia="宋体" w:cs="宋体"/>
          <w:b/>
          <w:color w:val="000000" w:themeColor="text1"/>
          <w:spacing w:val="20"/>
          <w:sz w:val="28"/>
          <w:szCs w:val="28"/>
          <w14:textFill>
            <w14:solidFill>
              <w14:schemeClr w14:val="tx1"/>
            </w14:solidFill>
          </w14:textFill>
        </w:rPr>
      </w:pPr>
      <w:r>
        <w:rPr>
          <w:rFonts w:hint="eastAsia" w:ascii="宋体" w:hAnsi="宋体" w:eastAsia="宋体" w:cs="宋体"/>
          <w:b/>
          <w:color w:val="000000" w:themeColor="text1"/>
          <w:spacing w:val="20"/>
          <w:sz w:val="28"/>
          <w:szCs w:val="28"/>
          <w14:textFill>
            <w14:solidFill>
              <w14:schemeClr w14:val="tx1"/>
            </w14:solidFill>
          </w14:textFill>
        </w:rPr>
        <w:t>法定代表人授权委托书</w:t>
      </w:r>
    </w:p>
    <w:p>
      <w:pPr>
        <w:spacing w:before="468" w:beforeLines="150" w:after="312" w:afterLines="100" w:line="360" w:lineRule="auto"/>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致：广东旭腾项目管理有限公司</w:t>
      </w:r>
    </w:p>
    <w:p>
      <w:pPr>
        <w:pStyle w:val="33"/>
        <w:spacing w:line="360" w:lineRule="auto"/>
        <w:ind w:firstLine="450" w:firstLineChars="0"/>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本人</w:t>
      </w:r>
      <w:r>
        <w:rPr>
          <w:rFonts w:hint="eastAsia" w:ascii="宋体" w:eastAsia="宋体" w:cs="宋体"/>
          <w:color w:val="000000" w:themeColor="text1"/>
          <w:sz w:val="21"/>
          <w:szCs w:val="21"/>
          <w:u w:val="single"/>
          <w14:textFill>
            <w14:solidFill>
              <w14:schemeClr w14:val="tx1"/>
            </w14:solidFill>
          </w14:textFill>
        </w:rPr>
        <w:t xml:space="preserve">   （姓名）  </w:t>
      </w:r>
      <w:r>
        <w:rPr>
          <w:rFonts w:hint="eastAsia" w:ascii="宋体" w:eastAsia="宋体" w:cs="宋体"/>
          <w:color w:val="000000" w:themeColor="text1"/>
          <w:sz w:val="21"/>
          <w:szCs w:val="21"/>
          <w14:textFill>
            <w14:solidFill>
              <w14:schemeClr w14:val="tx1"/>
            </w14:solidFill>
          </w14:textFill>
        </w:rPr>
        <w:t>系</w:t>
      </w:r>
      <w:r>
        <w:rPr>
          <w:rFonts w:hint="eastAsia" w:ascii="宋体" w:eastAsia="宋体" w:cs="宋体"/>
          <w:color w:val="000000" w:themeColor="text1"/>
          <w:sz w:val="21"/>
          <w:szCs w:val="21"/>
          <w:u w:val="single"/>
          <w14:textFill>
            <w14:solidFill>
              <w14:schemeClr w14:val="tx1"/>
            </w14:solidFill>
          </w14:textFill>
        </w:rPr>
        <w:t xml:space="preserve">     （投标人名称）    </w:t>
      </w:r>
      <w:r>
        <w:rPr>
          <w:rFonts w:hint="eastAsia" w:ascii="宋体" w:eastAsia="宋体" w:cs="宋体"/>
          <w:color w:val="000000" w:themeColor="text1"/>
          <w:sz w:val="21"/>
          <w:szCs w:val="21"/>
          <w14:textFill>
            <w14:solidFill>
              <w14:schemeClr w14:val="tx1"/>
            </w14:solidFill>
          </w14:textFill>
        </w:rPr>
        <w:t>的法定代表人，现委托</w:t>
      </w:r>
      <w:r>
        <w:rPr>
          <w:rFonts w:hint="eastAsia" w:ascii="宋体" w:eastAsia="宋体" w:cs="宋体"/>
          <w:color w:val="000000" w:themeColor="text1"/>
          <w:sz w:val="21"/>
          <w:szCs w:val="21"/>
          <w:u w:val="single"/>
          <w14:textFill>
            <w14:solidFill>
              <w14:schemeClr w14:val="tx1"/>
            </w14:solidFill>
          </w14:textFill>
        </w:rPr>
        <w:t xml:space="preserve"> （姓名） </w:t>
      </w:r>
      <w:r>
        <w:rPr>
          <w:rFonts w:hint="eastAsia" w:ascii="宋体" w:eastAsia="宋体" w:cs="宋体"/>
          <w:color w:val="000000" w:themeColor="text1"/>
          <w:sz w:val="21"/>
          <w:szCs w:val="21"/>
          <w14:textFill>
            <w14:solidFill>
              <w14:schemeClr w14:val="tx1"/>
            </w14:solidFill>
          </w14:textFill>
        </w:rPr>
        <w:t>为我方合法代理人。代理人根据授权，以我方名义签署、澄清、说明、补正、递交、撤回、修改</w:t>
      </w:r>
      <w:r>
        <w:rPr>
          <w:rFonts w:hint="eastAsia" w:ascii="宋体" w:eastAsia="宋体" w:cs="宋体"/>
          <w:color w:val="000000" w:themeColor="text1"/>
          <w:sz w:val="21"/>
          <w:szCs w:val="21"/>
          <w:u w:val="single"/>
          <w14:textFill>
            <w14:solidFill>
              <w14:schemeClr w14:val="tx1"/>
            </w14:solidFill>
          </w14:textFill>
        </w:rPr>
        <w:t xml:space="preserve">          （项目名称）      </w:t>
      </w:r>
      <w:r>
        <w:rPr>
          <w:rFonts w:hint="eastAsia" w:ascii="宋体" w:eastAsia="宋体" w:cs="宋体"/>
          <w:color w:val="000000" w:themeColor="text1"/>
          <w:sz w:val="21"/>
          <w:szCs w:val="21"/>
          <w14:textFill>
            <w14:solidFill>
              <w14:schemeClr w14:val="tx1"/>
            </w14:solidFill>
          </w14:textFill>
        </w:rPr>
        <w:t>（项目编号：</w:t>
      </w:r>
      <w:r>
        <w:rPr>
          <w:rFonts w:hint="eastAsia" w:ascii="宋体" w:eastAsia="宋体" w:cs="宋体"/>
          <w:color w:val="000000" w:themeColor="text1"/>
          <w:sz w:val="21"/>
          <w:szCs w:val="21"/>
          <w:u w:val="single"/>
          <w14:textFill>
            <w14:solidFill>
              <w14:schemeClr w14:val="tx1"/>
            </w14:solidFill>
          </w14:textFill>
        </w:rPr>
        <w:t>　　     　</w:t>
      </w:r>
      <w:r>
        <w:rPr>
          <w:rFonts w:hint="eastAsia" w:ascii="宋体" w:eastAsia="宋体" w:cs="宋体"/>
          <w:color w:val="000000" w:themeColor="text1"/>
          <w:sz w:val="21"/>
          <w:szCs w:val="21"/>
          <w14:textFill>
            <w14:solidFill>
              <w14:schemeClr w14:val="tx1"/>
            </w14:solidFill>
          </w14:textFill>
        </w:rPr>
        <w:t>）投标文件、签订合同和处理有关事宜，其法律后果由我方承担。</w:t>
      </w:r>
    </w:p>
    <w:p>
      <w:pPr>
        <w:pStyle w:val="33"/>
        <w:spacing w:line="360" w:lineRule="auto"/>
        <w:ind w:firstLine="428" w:firstLineChars="204"/>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本委托书于</w:t>
      </w:r>
      <w:r>
        <w:rPr>
          <w:rFonts w:hint="eastAsia" w:ascii="宋体" w:eastAsia="宋体" w:cs="宋体"/>
          <w:color w:val="000000" w:themeColor="text1"/>
          <w:sz w:val="21"/>
          <w:szCs w:val="21"/>
          <w:u w:val="single"/>
          <w14:textFill>
            <w14:solidFill>
              <w14:schemeClr w14:val="tx1"/>
            </w14:solidFill>
          </w14:textFill>
        </w:rPr>
        <w:t xml:space="preserve">　    </w:t>
      </w:r>
      <w:r>
        <w:rPr>
          <w:rFonts w:hint="eastAsia" w:ascii="宋体" w:eastAsia="宋体" w:cs="宋体"/>
          <w:color w:val="000000" w:themeColor="text1"/>
          <w:sz w:val="21"/>
          <w:szCs w:val="21"/>
          <w14:textFill>
            <w14:solidFill>
              <w14:schemeClr w14:val="tx1"/>
            </w14:solidFill>
          </w14:textFill>
        </w:rPr>
        <w:t>年</w:t>
      </w:r>
      <w:r>
        <w:rPr>
          <w:rFonts w:hint="eastAsia" w:ascii="宋体" w:eastAsia="宋体" w:cs="宋体"/>
          <w:color w:val="000000" w:themeColor="text1"/>
          <w:sz w:val="21"/>
          <w:szCs w:val="21"/>
          <w:u w:val="single"/>
          <w14:textFill>
            <w14:solidFill>
              <w14:schemeClr w14:val="tx1"/>
            </w14:solidFill>
          </w14:textFill>
        </w:rPr>
        <w:t xml:space="preserve">　 </w:t>
      </w:r>
      <w:r>
        <w:rPr>
          <w:rFonts w:hint="eastAsia" w:ascii="宋体" w:eastAsia="宋体" w:cs="宋体"/>
          <w:color w:val="000000" w:themeColor="text1"/>
          <w:sz w:val="21"/>
          <w:szCs w:val="21"/>
          <w14:textFill>
            <w14:solidFill>
              <w14:schemeClr w14:val="tx1"/>
            </w14:solidFill>
          </w14:textFill>
        </w:rPr>
        <w:t>月</w:t>
      </w:r>
      <w:r>
        <w:rPr>
          <w:rFonts w:hint="eastAsia" w:ascii="宋体" w:eastAsia="宋体" w:cs="宋体"/>
          <w:color w:val="000000" w:themeColor="text1"/>
          <w:sz w:val="21"/>
          <w:szCs w:val="21"/>
          <w:u w:val="single"/>
          <w14:textFill>
            <w14:solidFill>
              <w14:schemeClr w14:val="tx1"/>
            </w14:solidFill>
          </w14:textFill>
        </w:rPr>
        <w:t xml:space="preserve">　 </w:t>
      </w:r>
      <w:r>
        <w:rPr>
          <w:rFonts w:hint="eastAsia" w:ascii="宋体" w:eastAsia="宋体" w:cs="宋体"/>
          <w:color w:val="000000" w:themeColor="text1"/>
          <w:sz w:val="21"/>
          <w:szCs w:val="21"/>
          <w14:textFill>
            <w14:solidFill>
              <w14:schemeClr w14:val="tx1"/>
            </w14:solidFill>
          </w14:textFill>
        </w:rPr>
        <w:t>日签字生效，特此证明。</w:t>
      </w:r>
    </w:p>
    <w:p>
      <w:pPr>
        <w:pStyle w:val="33"/>
        <w:spacing w:line="360" w:lineRule="auto"/>
        <w:ind w:firstLine="428" w:firstLineChars="204"/>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被授权人无转委托权。</w:t>
      </w:r>
    </w:p>
    <w:p>
      <w:pPr>
        <w:pStyle w:val="33"/>
        <w:spacing w:line="360" w:lineRule="auto"/>
        <w:ind w:firstLine="0" w:firstLineChars="0"/>
        <w:rPr>
          <w:rFonts w:ascii="宋体" w:eastAsia="宋体" w:cs="宋体"/>
          <w:color w:val="000000" w:themeColor="text1"/>
          <w:sz w:val="21"/>
          <w:szCs w:val="21"/>
          <w14:textFill>
            <w14:solidFill>
              <w14:schemeClr w14:val="tx1"/>
            </w14:solidFill>
          </w14:textFill>
        </w:rPr>
      </w:pPr>
    </w:p>
    <w:p>
      <w:pPr>
        <w:pStyle w:val="33"/>
        <w:spacing w:line="360" w:lineRule="auto"/>
        <w:ind w:firstLine="0" w:firstLineChars="0"/>
        <w:rPr>
          <w:rFonts w:ascii="宋体" w:eastAsia="宋体" w:cs="宋体"/>
          <w:color w:val="000000" w:themeColor="text1"/>
          <w:sz w:val="21"/>
          <w:szCs w:val="21"/>
          <w14:textFill>
            <w14:solidFill>
              <w14:schemeClr w14:val="tx1"/>
            </w14:solidFill>
          </w14:textFill>
        </w:rPr>
      </w:pPr>
    </w:p>
    <w:tbl>
      <w:tblPr>
        <w:tblStyle w:val="21"/>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02"/>
        <w:gridCol w:w="57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02" w:type="dxa"/>
          </w:tcPr>
          <w:p>
            <w:pPr>
              <w:pStyle w:val="33"/>
              <w:spacing w:line="360" w:lineRule="auto"/>
              <w:ind w:firstLine="0" w:firstLineChars="0"/>
              <w:rPr>
                <w:rFonts w:ascii="宋体" w:eastAsia="宋体" w:cs="宋体"/>
                <w:color w:val="000000" w:themeColor="text1"/>
                <w:sz w:val="21"/>
                <w:szCs w:val="21"/>
                <w14:textFill>
                  <w14:solidFill>
                    <w14:schemeClr w14:val="tx1"/>
                  </w14:solidFill>
                </w14:textFill>
              </w:rPr>
            </w:pPr>
          </w:p>
        </w:tc>
        <w:tc>
          <w:tcPr>
            <w:tcW w:w="5726"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投标人名称（加盖公章）：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02" w:type="dxa"/>
          </w:tcPr>
          <w:p>
            <w:pPr>
              <w:pStyle w:val="33"/>
              <w:spacing w:line="360" w:lineRule="auto"/>
              <w:ind w:firstLine="0" w:firstLineChars="0"/>
              <w:rPr>
                <w:rFonts w:ascii="宋体" w:eastAsia="宋体" w:cs="宋体"/>
                <w:color w:val="000000" w:themeColor="text1"/>
                <w:sz w:val="21"/>
                <w:szCs w:val="21"/>
                <w14:textFill>
                  <w14:solidFill>
                    <w14:schemeClr w14:val="tx1"/>
                  </w14:solidFill>
                </w14:textFill>
              </w:rPr>
            </w:pPr>
          </w:p>
        </w:tc>
        <w:tc>
          <w:tcPr>
            <w:tcW w:w="5726"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法定代表人（签名或盖私章）：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02" w:type="dxa"/>
          </w:tcPr>
          <w:p>
            <w:pPr>
              <w:pStyle w:val="33"/>
              <w:spacing w:line="360" w:lineRule="auto"/>
              <w:ind w:firstLine="0" w:firstLineChars="0"/>
              <w:rPr>
                <w:rFonts w:ascii="宋体" w:eastAsia="宋体" w:cs="宋体"/>
                <w:color w:val="000000" w:themeColor="text1"/>
                <w:sz w:val="21"/>
                <w:szCs w:val="21"/>
                <w14:textFill>
                  <w14:solidFill>
                    <w14:schemeClr w14:val="tx1"/>
                  </w14:solidFill>
                </w14:textFill>
              </w:rPr>
            </w:pPr>
          </w:p>
        </w:tc>
        <w:tc>
          <w:tcPr>
            <w:tcW w:w="5726"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身份证号码：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02" w:type="dxa"/>
          </w:tcPr>
          <w:p>
            <w:pPr>
              <w:pStyle w:val="33"/>
              <w:spacing w:line="360" w:lineRule="auto"/>
              <w:ind w:firstLine="0" w:firstLineChars="0"/>
              <w:rPr>
                <w:rFonts w:ascii="宋体" w:eastAsia="宋体" w:cs="宋体"/>
                <w:color w:val="000000" w:themeColor="text1"/>
                <w:sz w:val="21"/>
                <w:szCs w:val="21"/>
                <w14:textFill>
                  <w14:solidFill>
                    <w14:schemeClr w14:val="tx1"/>
                  </w14:solidFill>
                </w14:textFill>
              </w:rPr>
            </w:pPr>
          </w:p>
        </w:tc>
        <w:tc>
          <w:tcPr>
            <w:tcW w:w="5726"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被授权人（签名或盖私章）：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02" w:type="dxa"/>
          </w:tcPr>
          <w:p>
            <w:pPr>
              <w:pStyle w:val="33"/>
              <w:spacing w:line="360" w:lineRule="auto"/>
              <w:ind w:firstLine="0" w:firstLineChars="0"/>
              <w:rPr>
                <w:rFonts w:ascii="宋体" w:eastAsia="宋体" w:cs="宋体"/>
                <w:color w:val="000000" w:themeColor="text1"/>
                <w:sz w:val="21"/>
                <w:szCs w:val="21"/>
                <w14:textFill>
                  <w14:solidFill>
                    <w14:schemeClr w14:val="tx1"/>
                  </w14:solidFill>
                </w14:textFill>
              </w:rPr>
            </w:pPr>
          </w:p>
        </w:tc>
        <w:tc>
          <w:tcPr>
            <w:tcW w:w="5726"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身份证号码：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02" w:type="dxa"/>
          </w:tcPr>
          <w:p>
            <w:pPr>
              <w:pStyle w:val="33"/>
              <w:spacing w:line="360" w:lineRule="auto"/>
              <w:ind w:firstLine="0" w:firstLineChars="0"/>
              <w:rPr>
                <w:rFonts w:ascii="宋体" w:eastAsia="宋体" w:cs="宋体"/>
                <w:color w:val="000000" w:themeColor="text1"/>
                <w:sz w:val="21"/>
                <w:szCs w:val="21"/>
                <w14:textFill>
                  <w14:solidFill>
                    <w14:schemeClr w14:val="tx1"/>
                  </w14:solidFill>
                </w14:textFill>
              </w:rPr>
            </w:pPr>
          </w:p>
        </w:tc>
        <w:tc>
          <w:tcPr>
            <w:tcW w:w="5726"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年             月             日</w:t>
            </w:r>
          </w:p>
        </w:tc>
      </w:tr>
    </w:tbl>
    <w:p>
      <w:pPr>
        <w:pStyle w:val="33"/>
        <w:spacing w:line="360" w:lineRule="auto"/>
        <w:ind w:firstLine="0" w:firstLineChars="0"/>
        <w:rPr>
          <w:rFonts w:ascii="宋体" w:eastAsia="宋体" w:cs="宋体"/>
          <w:color w:val="000000" w:themeColor="text1"/>
          <w:sz w:val="21"/>
          <w:szCs w:val="21"/>
          <w14:textFill>
            <w14:solidFill>
              <w14:schemeClr w14:val="tx1"/>
            </w14:solidFill>
          </w14:textFill>
        </w:rPr>
      </w:pPr>
    </w:p>
    <w:p>
      <w:pPr>
        <w:pStyle w:val="33"/>
        <w:spacing w:line="360" w:lineRule="auto"/>
        <w:ind w:firstLine="0" w:firstLineChars="0"/>
        <w:rPr>
          <w:rFonts w:ascii="宋体" w:eastAsia="宋体" w:cs="宋体"/>
          <w:color w:val="000000" w:themeColor="text1"/>
          <w:sz w:val="21"/>
          <w:szCs w:val="21"/>
          <w14:textFill>
            <w14:solidFill>
              <w14:schemeClr w14:val="tx1"/>
            </w14:solidFill>
          </w14:textFill>
        </w:rPr>
      </w:pPr>
    </w:p>
    <w:p>
      <w:pPr>
        <w:spacing w:after="156" w:afterLines="50"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须附：被授权人身份证复印件</w:t>
      </w:r>
    </w:p>
    <w:tbl>
      <w:tblPr>
        <w:tblStyle w:val="20"/>
        <w:tblW w:w="8528" w:type="dxa"/>
        <w:jc w:val="center"/>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64"/>
        <w:gridCol w:w="4264"/>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rPr>
          <w:trHeight w:val="2310" w:hRule="atLeast"/>
          <w:jc w:val="center"/>
        </w:trPr>
        <w:tc>
          <w:tcPr>
            <w:tcW w:w="4264" w:type="dxa"/>
            <w:vAlign w:val="center"/>
          </w:tcPr>
          <w:p>
            <w:pPr>
              <w:pStyle w:val="33"/>
              <w:spacing w:line="460" w:lineRule="exact"/>
              <w:ind w:firstLine="0" w:firstLineChars="0"/>
              <w:jc w:val="center"/>
              <w:rPr>
                <w:rFonts w:ascii="宋体" w:eastAsia="宋体" w:cs="宋体"/>
                <w:color w:val="000000" w:themeColor="text1"/>
                <w:sz w:val="22"/>
                <w:szCs w:val="22"/>
                <w14:textFill>
                  <w14:solidFill>
                    <w14:schemeClr w14:val="tx1"/>
                  </w14:solidFill>
                </w14:textFill>
              </w:rPr>
            </w:pPr>
            <w:r>
              <w:rPr>
                <w:rFonts w:hint="eastAsia" w:ascii="宋体" w:eastAsia="宋体" w:cs="宋体"/>
                <w:color w:val="000000" w:themeColor="text1"/>
                <w:sz w:val="22"/>
                <w:szCs w:val="22"/>
                <w14:textFill>
                  <w14:solidFill>
                    <w14:schemeClr w14:val="tx1"/>
                  </w14:solidFill>
                </w14:textFill>
              </w:rPr>
              <w:t>正面</w:t>
            </w:r>
          </w:p>
        </w:tc>
        <w:tc>
          <w:tcPr>
            <w:tcW w:w="4264" w:type="dxa"/>
            <w:vAlign w:val="center"/>
          </w:tcPr>
          <w:p>
            <w:pPr>
              <w:pStyle w:val="33"/>
              <w:spacing w:line="460" w:lineRule="exact"/>
              <w:ind w:firstLine="0" w:firstLineChars="0"/>
              <w:jc w:val="center"/>
              <w:rPr>
                <w:rFonts w:ascii="宋体" w:eastAsia="宋体" w:cs="宋体"/>
                <w:color w:val="000000" w:themeColor="text1"/>
                <w:sz w:val="22"/>
                <w:szCs w:val="22"/>
                <w14:textFill>
                  <w14:solidFill>
                    <w14:schemeClr w14:val="tx1"/>
                  </w14:solidFill>
                </w14:textFill>
              </w:rPr>
            </w:pPr>
            <w:r>
              <w:rPr>
                <w:rFonts w:hint="eastAsia" w:ascii="宋体" w:eastAsia="宋体" w:cs="宋体"/>
                <w:color w:val="000000" w:themeColor="text1"/>
                <w:sz w:val="22"/>
                <w:szCs w:val="22"/>
                <w14:textFill>
                  <w14:solidFill>
                    <w14:schemeClr w14:val="tx1"/>
                  </w14:solidFill>
                </w14:textFill>
              </w:rPr>
              <w:t>背面</w:t>
            </w:r>
          </w:p>
        </w:tc>
      </w:tr>
    </w:tbl>
    <w:p>
      <w:pPr>
        <w:pStyle w:val="4"/>
        <w:keepNext w:val="0"/>
        <w:keepLines w:val="0"/>
        <w:pageBreakBefore/>
        <w:spacing w:line="415" w:lineRule="auto"/>
        <w:jc w:val="left"/>
        <w:rPr>
          <w:rStyle w:val="23"/>
          <w:rFonts w:ascii="宋体" w:hAnsi="宋体" w:eastAsia="宋体" w:cs="宋体"/>
          <w:b/>
          <w:bCs w:val="0"/>
          <w:color w:val="000000" w:themeColor="text1"/>
          <w:spacing w:val="12"/>
          <w:sz w:val="21"/>
          <w14:textFill>
            <w14:solidFill>
              <w14:schemeClr w14:val="tx1"/>
            </w14:solidFill>
          </w14:textFill>
        </w:rPr>
      </w:pPr>
      <w:bookmarkStart w:id="140" w:name="_Toc391627764"/>
      <w:bookmarkStart w:id="141" w:name="_Toc405313969"/>
      <w:bookmarkStart w:id="142" w:name="_Toc28027"/>
      <w:bookmarkStart w:id="143" w:name="_Toc391627760"/>
      <w:bookmarkStart w:id="144" w:name="_Toc405313964"/>
      <w:r>
        <w:rPr>
          <w:rStyle w:val="23"/>
          <w:rFonts w:hint="eastAsia" w:ascii="宋体" w:hAnsi="宋体" w:eastAsia="宋体" w:cs="宋体"/>
          <w:b/>
          <w:bCs w:val="0"/>
          <w:color w:val="000000" w:themeColor="text1"/>
          <w:spacing w:val="12"/>
          <w:sz w:val="21"/>
          <w14:textFill>
            <w14:solidFill>
              <w14:schemeClr w14:val="tx1"/>
            </w14:solidFill>
          </w14:textFill>
        </w:rPr>
        <w:t xml:space="preserve">附件2-4  </w:t>
      </w:r>
      <w:bookmarkEnd w:id="140"/>
      <w:bookmarkEnd w:id="141"/>
      <w:r>
        <w:rPr>
          <w:rStyle w:val="23"/>
          <w:rFonts w:hint="eastAsia" w:ascii="宋体" w:hAnsi="宋体" w:eastAsia="宋体" w:cs="宋体"/>
          <w:b/>
          <w:bCs w:val="0"/>
          <w:color w:val="000000" w:themeColor="text1"/>
          <w:spacing w:val="12"/>
          <w:sz w:val="21"/>
          <w14:textFill>
            <w14:solidFill>
              <w14:schemeClr w14:val="tx1"/>
            </w14:solidFill>
          </w14:textFill>
        </w:rPr>
        <w:t>资格声明</w:t>
      </w:r>
      <w:bookmarkEnd w:id="142"/>
    </w:p>
    <w:p>
      <w:pPr>
        <w:spacing w:after="312" w:afterLines="100" w:line="360" w:lineRule="auto"/>
        <w:jc w:val="center"/>
        <w:rPr>
          <w:rFonts w:ascii="宋体" w:hAnsi="宋体" w:eastAsia="宋体" w:cs="宋体"/>
          <w:b/>
          <w:color w:val="000000" w:themeColor="text1"/>
          <w:spacing w:val="20"/>
          <w:sz w:val="28"/>
          <w:szCs w:val="28"/>
          <w14:textFill>
            <w14:solidFill>
              <w14:schemeClr w14:val="tx1"/>
            </w14:solidFill>
          </w14:textFill>
        </w:rPr>
      </w:pPr>
      <w:r>
        <w:rPr>
          <w:rFonts w:hint="eastAsia" w:ascii="宋体" w:hAnsi="宋体" w:eastAsia="宋体" w:cs="宋体"/>
          <w:b/>
          <w:color w:val="000000" w:themeColor="text1"/>
          <w:spacing w:val="20"/>
          <w:sz w:val="28"/>
          <w:szCs w:val="28"/>
          <w14:textFill>
            <w14:solidFill>
              <w14:schemeClr w14:val="tx1"/>
            </w14:solidFill>
          </w14:textFill>
        </w:rPr>
        <w:t>资格声明</w:t>
      </w:r>
    </w:p>
    <w:p>
      <w:pPr>
        <w:spacing w:after="312" w:afterLines="100"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广东旭腾项目管理有限公司：</w:t>
      </w:r>
    </w:p>
    <w:p>
      <w:pPr>
        <w:snapToGrid w:val="0"/>
        <w:spacing w:before="156" w:beforeLines="50" w:line="360" w:lineRule="auto"/>
        <w:ind w:firstLine="525" w:firstLineChars="250"/>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关于贵公司的</w:t>
      </w:r>
      <w:r>
        <w:rPr>
          <w:rFonts w:hint="eastAsia" w:ascii="宋体" w:hAnsi="宋体"/>
          <w:color w:val="000000" w:themeColor="text1"/>
          <w:szCs w:val="21"/>
          <w:u w:val="single"/>
          <w14:textFill>
            <w14:solidFill>
              <w14:schemeClr w14:val="tx1"/>
            </w14:solidFill>
          </w14:textFill>
        </w:rPr>
        <w:t xml:space="preserve">     （项目名称）             </w:t>
      </w:r>
      <w:r>
        <w:rPr>
          <w:rFonts w:hint="eastAsia" w:ascii="宋体" w:hAnsi="宋体"/>
          <w:color w:val="000000" w:themeColor="text1"/>
          <w:szCs w:val="21"/>
          <w14:textFill>
            <w14:solidFill>
              <w14:schemeClr w14:val="tx1"/>
            </w14:solidFill>
          </w14:textFill>
        </w:rPr>
        <w:t>（项目编号：）的投标邀请，本单位（企业）自愿参加投标</w:t>
      </w:r>
      <w:r>
        <w:rPr>
          <w:rFonts w:hint="eastAsia" w:ascii="宋体" w:hAnsi="宋体"/>
          <w:bCs/>
          <w:color w:val="000000" w:themeColor="text1"/>
          <w:szCs w:val="21"/>
          <w14:textFill>
            <w14:solidFill>
              <w14:schemeClr w14:val="tx1"/>
            </w14:solidFill>
          </w14:textFill>
        </w:rPr>
        <w:t>，现声明如下：</w:t>
      </w:r>
    </w:p>
    <w:p>
      <w:pPr>
        <w:snapToGrid w:val="0"/>
        <w:spacing w:line="360" w:lineRule="auto"/>
        <w:ind w:firstLine="424" w:firstLineChars="20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本单位具备</w:t>
      </w:r>
      <w:r>
        <w:rPr>
          <w:rFonts w:hint="eastAsia" w:ascii="宋体" w:hAnsi="宋体"/>
          <w:bCs/>
          <w:color w:val="000000" w:themeColor="text1"/>
          <w:szCs w:val="21"/>
          <w14:textFill>
            <w14:solidFill>
              <w14:schemeClr w14:val="tx1"/>
            </w14:solidFill>
          </w14:textFill>
        </w:rPr>
        <w:t>《中华人民共和国政府采购法》第二十二条资格条件，</w:t>
      </w:r>
      <w:r>
        <w:rPr>
          <w:rFonts w:hint="eastAsia" w:ascii="宋体" w:hAnsi="宋体"/>
          <w:color w:val="000000" w:themeColor="text1"/>
          <w:szCs w:val="21"/>
          <w14:textFill>
            <w14:solidFill>
              <w14:schemeClr w14:val="tx1"/>
            </w14:solidFill>
          </w14:textFill>
        </w:rPr>
        <w:t>并已清楚招标文件的要求及有关文件规定。</w:t>
      </w:r>
    </w:p>
    <w:p>
      <w:pPr>
        <w:snapToGrid w:val="0"/>
        <w:spacing w:line="360" w:lineRule="auto"/>
        <w:ind w:firstLine="424" w:firstLineChars="20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本单位的法定代表人或单位负责人与所参投的本采购项目包组的其他投标人的法定代表人或单位负责人不为同一人且与其他投标人之间不存在直接控股、管理关系。</w:t>
      </w:r>
    </w:p>
    <w:p>
      <w:pPr>
        <w:snapToGrid w:val="0"/>
        <w:spacing w:line="360" w:lineRule="auto"/>
        <w:ind w:firstLine="424" w:firstLineChars="20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中华人民共和国政府采购法实施条例》的规定，本单位清楚：如为本采购项目包组提供整体设计、规范编制或者项目管理、监理、检测等服务的供应商，不得再参加该采购项目包组的其他采购活动。否则，由此所造成的损失、不良后果及法律责任，一律由我单位承担。</w:t>
      </w:r>
    </w:p>
    <w:p>
      <w:pPr>
        <w:snapToGrid w:val="0"/>
        <w:spacing w:line="360" w:lineRule="auto"/>
        <w:ind w:firstLine="424" w:firstLineChars="20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本单位</w:t>
      </w:r>
      <w:r>
        <w:rPr>
          <w:rFonts w:ascii="宋体" w:hAnsi="宋体"/>
          <w:color w:val="000000" w:themeColor="text1"/>
          <w:szCs w:val="21"/>
          <w14:textFill>
            <w14:solidFill>
              <w14:schemeClr w14:val="tx1"/>
            </w14:solidFill>
          </w14:textFill>
        </w:rPr>
        <w:t>具有履行合同所必需的设备和专业技术能力</w:t>
      </w:r>
      <w:r>
        <w:rPr>
          <w:rFonts w:hint="eastAsia" w:ascii="宋体" w:hAnsi="宋体"/>
          <w:color w:val="000000" w:themeColor="text1"/>
          <w:szCs w:val="21"/>
          <w14:textFill>
            <w14:solidFill>
              <w14:schemeClr w14:val="tx1"/>
            </w14:solidFill>
          </w14:textFill>
        </w:rPr>
        <w:t>，且参加政府采购活动前</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年内在经营活动中没有重大违法记录。否则，由此所造成的损失、不良后果及法律责任，一律由我单位承担。</w:t>
      </w:r>
    </w:p>
    <w:p>
      <w:pPr>
        <w:snapToGrid w:val="0"/>
        <w:spacing w:line="360" w:lineRule="auto"/>
        <w:ind w:firstLine="424" w:firstLineChars="20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本次招标采购活动中，如有违法、违规、弄虚作假行为，所造成的损失、不良后果及法律责任，一律由我单位承担。</w:t>
      </w:r>
    </w:p>
    <w:p>
      <w:pPr>
        <w:spacing w:line="360" w:lineRule="auto"/>
        <w:ind w:firstLine="420"/>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特此声明！</w:t>
      </w: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tbl>
      <w:tblPr>
        <w:tblStyle w:val="21"/>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53"/>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投标人名称（加盖公章）：</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年           月            日</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bl>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tabs>
          <w:tab w:val="left" w:pos="567"/>
        </w:tabs>
        <w:adjustRightInd w:val="0"/>
        <w:snapToGrid w:val="0"/>
        <w:spacing w:line="360" w:lineRule="auto"/>
        <w:rPr>
          <w:b/>
          <w:color w:val="000000" w:themeColor="text1"/>
          <w:szCs w:val="21"/>
          <w14:textFill>
            <w14:solidFill>
              <w14:schemeClr w14:val="tx1"/>
            </w14:solidFill>
          </w14:textFill>
        </w:rPr>
      </w:pPr>
    </w:p>
    <w:p>
      <w:pPr>
        <w:pStyle w:val="4"/>
        <w:keepNext w:val="0"/>
        <w:keepLines w:val="0"/>
        <w:pageBreakBefore/>
        <w:spacing w:line="415" w:lineRule="auto"/>
        <w:jc w:val="left"/>
        <w:rPr>
          <w:rStyle w:val="23"/>
          <w:rFonts w:ascii="宋体" w:hAnsi="宋体" w:eastAsia="宋体" w:cs="宋体"/>
          <w:b/>
          <w:bCs w:val="0"/>
          <w:color w:val="000000" w:themeColor="text1"/>
          <w:spacing w:val="12"/>
          <w:sz w:val="21"/>
          <w:szCs w:val="21"/>
          <w14:textFill>
            <w14:solidFill>
              <w14:schemeClr w14:val="tx1"/>
            </w14:solidFill>
          </w14:textFill>
        </w:rPr>
      </w:pPr>
      <w:bookmarkStart w:id="145" w:name="_Toc15283"/>
      <w:r>
        <w:rPr>
          <w:rStyle w:val="23"/>
          <w:rFonts w:hint="eastAsia" w:ascii="宋体" w:hAnsi="宋体" w:eastAsia="宋体" w:cs="宋体"/>
          <w:b/>
          <w:bCs w:val="0"/>
          <w:color w:val="000000" w:themeColor="text1"/>
          <w:spacing w:val="12"/>
          <w:sz w:val="21"/>
          <w:szCs w:val="21"/>
          <w14:textFill>
            <w14:solidFill>
              <w14:schemeClr w14:val="tx1"/>
            </w14:solidFill>
          </w14:textFill>
        </w:rPr>
        <w:t>附件2-5  投标人基本情况说明格式</w:t>
      </w:r>
      <w:bookmarkEnd w:id="143"/>
      <w:bookmarkEnd w:id="144"/>
      <w:bookmarkEnd w:id="145"/>
    </w:p>
    <w:p>
      <w:pPr>
        <w:spacing w:line="360" w:lineRule="auto"/>
        <w:jc w:val="center"/>
        <w:rPr>
          <w:rFonts w:ascii="宋体" w:hAnsi="宋体" w:eastAsia="宋体" w:cs="宋体"/>
          <w:b/>
          <w:color w:val="000000" w:themeColor="text1"/>
          <w:spacing w:val="20"/>
          <w:sz w:val="28"/>
          <w:szCs w:val="28"/>
          <w14:textFill>
            <w14:solidFill>
              <w14:schemeClr w14:val="tx1"/>
            </w14:solidFill>
          </w14:textFill>
        </w:rPr>
      </w:pPr>
      <w:r>
        <w:rPr>
          <w:rFonts w:hint="eastAsia" w:ascii="宋体" w:hAnsi="宋体" w:eastAsia="宋体" w:cs="宋体"/>
          <w:b/>
          <w:color w:val="000000" w:themeColor="text1"/>
          <w:spacing w:val="20"/>
          <w:sz w:val="28"/>
          <w:szCs w:val="28"/>
          <w14:textFill>
            <w14:solidFill>
              <w14:schemeClr w14:val="tx1"/>
            </w14:solidFill>
          </w14:textFill>
        </w:rPr>
        <w:t>投标人基本情况说明</w:t>
      </w:r>
    </w:p>
    <w:p>
      <w:pPr>
        <w:pStyle w:val="29"/>
        <w:numPr>
          <w:ilvl w:val="0"/>
          <w:numId w:val="54"/>
        </w:numPr>
        <w:spacing w:after="156" w:afterLines="50"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公司基本情况</w:t>
      </w:r>
    </w:p>
    <w:tbl>
      <w:tblPr>
        <w:tblStyle w:val="21"/>
        <w:tblW w:w="852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6"/>
        <w:gridCol w:w="2372"/>
        <w:gridCol w:w="1039"/>
        <w:gridCol w:w="1371"/>
        <w:gridCol w:w="2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117" w:type="dxa"/>
            <w:gridSpan w:val="3"/>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公司名称：</w:t>
            </w:r>
          </w:p>
        </w:tc>
        <w:tc>
          <w:tcPr>
            <w:tcW w:w="3411" w:type="dxa"/>
            <w:gridSpan w:val="2"/>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公司固话：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117" w:type="dxa"/>
            <w:gridSpan w:val="3"/>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单位地址：</w:t>
            </w:r>
          </w:p>
        </w:tc>
        <w:tc>
          <w:tcPr>
            <w:tcW w:w="3411" w:type="dxa"/>
            <w:gridSpan w:val="2"/>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公司传真：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117" w:type="dxa"/>
            <w:gridSpan w:val="3"/>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注册资金：</w:t>
            </w:r>
          </w:p>
        </w:tc>
        <w:tc>
          <w:tcPr>
            <w:tcW w:w="3411" w:type="dxa"/>
            <w:gridSpan w:val="2"/>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单位性质：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117" w:type="dxa"/>
            <w:gridSpan w:val="3"/>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公司开户银行名称：</w:t>
            </w:r>
          </w:p>
        </w:tc>
        <w:tc>
          <w:tcPr>
            <w:tcW w:w="3411" w:type="dxa"/>
            <w:gridSpan w:val="2"/>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开户账号：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528" w:type="dxa"/>
            <w:gridSpan w:val="5"/>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营业注册执照或事业单位法人证书号：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3" w:hRule="atLeast"/>
          <w:jc w:val="center"/>
        </w:trPr>
        <w:tc>
          <w:tcPr>
            <w:tcW w:w="8528" w:type="dxa"/>
            <w:gridSpan w:val="5"/>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公司财务状况：（如需）                                  【价格单位：（人民币）元】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70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年  度</w:t>
            </w:r>
          </w:p>
        </w:tc>
        <w:tc>
          <w:tcPr>
            <w:tcW w:w="23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总资产（元）</w:t>
            </w:r>
          </w:p>
        </w:tc>
        <w:tc>
          <w:tcPr>
            <w:tcW w:w="241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年营业额（元）</w:t>
            </w:r>
          </w:p>
        </w:tc>
        <w:tc>
          <w:tcPr>
            <w:tcW w:w="20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年净利润（元）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70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宋体"/>
                <w:color w:val="000000" w:themeColor="text1"/>
                <w:szCs w:val="21"/>
                <w14:textFill>
                  <w14:solidFill>
                    <w14:schemeClr w14:val="tx1"/>
                  </w14:solidFill>
                </w14:textFill>
              </w:rPr>
            </w:pPr>
          </w:p>
        </w:tc>
        <w:tc>
          <w:tcPr>
            <w:tcW w:w="237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宋体"/>
                <w:color w:val="000000" w:themeColor="text1"/>
                <w:szCs w:val="21"/>
                <w14:textFill>
                  <w14:solidFill>
                    <w14:schemeClr w14:val="tx1"/>
                  </w14:solidFill>
                </w14:textFill>
              </w:rPr>
            </w:pPr>
          </w:p>
        </w:tc>
        <w:tc>
          <w:tcPr>
            <w:tcW w:w="2410" w:type="dxa"/>
            <w:gridSpan w:val="2"/>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宋体"/>
                <w:color w:val="000000" w:themeColor="text1"/>
                <w:szCs w:val="21"/>
                <w14:textFill>
                  <w14:solidFill>
                    <w14:schemeClr w14:val="tx1"/>
                  </w14:solidFill>
                </w14:textFill>
              </w:rPr>
            </w:pPr>
          </w:p>
        </w:tc>
        <w:tc>
          <w:tcPr>
            <w:tcW w:w="2040"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宋体"/>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70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宋体"/>
                <w:color w:val="000000" w:themeColor="text1"/>
                <w:szCs w:val="21"/>
                <w14:textFill>
                  <w14:solidFill>
                    <w14:schemeClr w14:val="tx1"/>
                  </w14:solidFill>
                </w14:textFill>
              </w:rPr>
            </w:pPr>
          </w:p>
        </w:tc>
        <w:tc>
          <w:tcPr>
            <w:tcW w:w="237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宋体"/>
                <w:color w:val="000000" w:themeColor="text1"/>
                <w:szCs w:val="21"/>
                <w14:textFill>
                  <w14:solidFill>
                    <w14:schemeClr w14:val="tx1"/>
                  </w14:solidFill>
                </w14:textFill>
              </w:rPr>
            </w:pPr>
          </w:p>
        </w:tc>
        <w:tc>
          <w:tcPr>
            <w:tcW w:w="2410" w:type="dxa"/>
            <w:gridSpan w:val="2"/>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宋体"/>
                <w:color w:val="000000" w:themeColor="text1"/>
                <w:szCs w:val="21"/>
                <w14:textFill>
                  <w14:solidFill>
                    <w14:schemeClr w14:val="tx1"/>
                  </w14:solidFill>
                </w14:textFill>
              </w:rPr>
            </w:pPr>
          </w:p>
        </w:tc>
        <w:tc>
          <w:tcPr>
            <w:tcW w:w="2040"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宋体"/>
                <w:color w:val="000000" w:themeColor="text1"/>
                <w:szCs w:val="21"/>
                <w14:textFill>
                  <w14:solidFill>
                    <w14:schemeClr w14:val="tx1"/>
                  </w14:solidFill>
                </w14:textFill>
              </w:rPr>
            </w:pPr>
          </w:p>
        </w:tc>
      </w:tr>
    </w:tbl>
    <w:p>
      <w:pPr>
        <w:spacing w:before="156" w:beforeLines="50" w:after="156" w:afterLines="50"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备注：需提供证明资料内容详见</w:t>
      </w:r>
      <w:r>
        <w:rPr>
          <w:rFonts w:hint="eastAsia" w:ascii="宋体" w:hAnsi="宋体" w:eastAsia="宋体" w:cs="宋体"/>
          <w:color w:val="000000" w:themeColor="text1"/>
          <w:szCs w:val="21"/>
          <w:u w:val="single"/>
          <w14:textFill>
            <w14:solidFill>
              <w14:schemeClr w14:val="tx1"/>
            </w14:solidFill>
          </w14:textFill>
        </w:rPr>
        <w:t>（招标文件第四部分 评标方法、步骤、标准之附表三详细评审表相对应条款）</w:t>
      </w:r>
      <w:r>
        <w:rPr>
          <w:rFonts w:hint="eastAsia" w:ascii="宋体" w:hAnsi="宋体" w:eastAsia="宋体" w:cs="宋体"/>
          <w:color w:val="000000" w:themeColor="text1"/>
          <w:szCs w:val="21"/>
          <w14:textFill>
            <w14:solidFill>
              <w14:schemeClr w14:val="tx1"/>
            </w14:solidFill>
          </w14:textFill>
        </w:rPr>
        <w:t>。</w:t>
      </w:r>
    </w:p>
    <w:p>
      <w:pPr>
        <w:pStyle w:val="29"/>
        <w:numPr>
          <w:ilvl w:val="0"/>
          <w:numId w:val="54"/>
        </w:numPr>
        <w:spacing w:after="156" w:afterLines="50"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投标人获得国家有关部门颁发的资质证明或荣誉：（如需）</w:t>
      </w:r>
    </w:p>
    <w:tbl>
      <w:tblPr>
        <w:tblStyle w:val="21"/>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2132"/>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证书名称</w:t>
            </w:r>
          </w:p>
        </w:tc>
        <w:tc>
          <w:tcPr>
            <w:tcW w:w="2132"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发证单位</w:t>
            </w:r>
          </w:p>
        </w:tc>
        <w:tc>
          <w:tcPr>
            <w:tcW w:w="2132"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证书等级</w:t>
            </w:r>
          </w:p>
        </w:tc>
        <w:tc>
          <w:tcPr>
            <w:tcW w:w="2132"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tcPr>
          <w:p>
            <w:pPr>
              <w:spacing w:line="360" w:lineRule="auto"/>
              <w:rPr>
                <w:rFonts w:ascii="宋体" w:hAnsi="宋体" w:eastAsia="宋体" w:cs="宋体"/>
                <w:color w:val="000000" w:themeColor="text1"/>
                <w:szCs w:val="21"/>
                <w14:textFill>
                  <w14:solidFill>
                    <w14:schemeClr w14:val="tx1"/>
                  </w14:solidFill>
                </w14:textFill>
              </w:rPr>
            </w:pPr>
          </w:p>
        </w:tc>
        <w:tc>
          <w:tcPr>
            <w:tcW w:w="2132" w:type="dxa"/>
          </w:tcPr>
          <w:p>
            <w:pPr>
              <w:spacing w:line="360" w:lineRule="auto"/>
              <w:rPr>
                <w:rFonts w:ascii="宋体" w:hAnsi="宋体" w:eastAsia="宋体" w:cs="宋体"/>
                <w:color w:val="000000" w:themeColor="text1"/>
                <w:szCs w:val="21"/>
                <w14:textFill>
                  <w14:solidFill>
                    <w14:schemeClr w14:val="tx1"/>
                  </w14:solidFill>
                </w14:textFill>
              </w:rPr>
            </w:pPr>
          </w:p>
        </w:tc>
        <w:tc>
          <w:tcPr>
            <w:tcW w:w="2132" w:type="dxa"/>
          </w:tcPr>
          <w:p>
            <w:pPr>
              <w:spacing w:line="360" w:lineRule="auto"/>
              <w:rPr>
                <w:rFonts w:ascii="宋体" w:hAnsi="宋体" w:eastAsia="宋体" w:cs="宋体"/>
                <w:color w:val="000000" w:themeColor="text1"/>
                <w:szCs w:val="21"/>
                <w14:textFill>
                  <w14:solidFill>
                    <w14:schemeClr w14:val="tx1"/>
                  </w14:solidFill>
                </w14:textFill>
              </w:rPr>
            </w:pPr>
          </w:p>
        </w:tc>
        <w:tc>
          <w:tcPr>
            <w:tcW w:w="2132" w:type="dxa"/>
          </w:tcPr>
          <w:p>
            <w:pPr>
              <w:spacing w:line="360" w:lineRule="auto"/>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tcPr>
          <w:p>
            <w:pPr>
              <w:spacing w:line="360" w:lineRule="auto"/>
              <w:rPr>
                <w:rFonts w:ascii="宋体" w:hAnsi="宋体" w:eastAsia="宋体" w:cs="宋体"/>
                <w:color w:val="000000" w:themeColor="text1"/>
                <w:szCs w:val="21"/>
                <w14:textFill>
                  <w14:solidFill>
                    <w14:schemeClr w14:val="tx1"/>
                  </w14:solidFill>
                </w14:textFill>
              </w:rPr>
            </w:pPr>
          </w:p>
        </w:tc>
        <w:tc>
          <w:tcPr>
            <w:tcW w:w="2132" w:type="dxa"/>
          </w:tcPr>
          <w:p>
            <w:pPr>
              <w:spacing w:line="360" w:lineRule="auto"/>
              <w:rPr>
                <w:rFonts w:ascii="宋体" w:hAnsi="宋体" w:eastAsia="宋体" w:cs="宋体"/>
                <w:color w:val="000000" w:themeColor="text1"/>
                <w:szCs w:val="21"/>
                <w14:textFill>
                  <w14:solidFill>
                    <w14:schemeClr w14:val="tx1"/>
                  </w14:solidFill>
                </w14:textFill>
              </w:rPr>
            </w:pPr>
          </w:p>
        </w:tc>
        <w:tc>
          <w:tcPr>
            <w:tcW w:w="2132" w:type="dxa"/>
          </w:tcPr>
          <w:p>
            <w:pPr>
              <w:spacing w:line="360" w:lineRule="auto"/>
              <w:rPr>
                <w:rFonts w:ascii="宋体" w:hAnsi="宋体" w:eastAsia="宋体" w:cs="宋体"/>
                <w:color w:val="000000" w:themeColor="text1"/>
                <w:szCs w:val="21"/>
                <w14:textFill>
                  <w14:solidFill>
                    <w14:schemeClr w14:val="tx1"/>
                  </w14:solidFill>
                </w14:textFill>
              </w:rPr>
            </w:pPr>
          </w:p>
        </w:tc>
        <w:tc>
          <w:tcPr>
            <w:tcW w:w="2132" w:type="dxa"/>
          </w:tcPr>
          <w:p>
            <w:pPr>
              <w:spacing w:line="360" w:lineRule="auto"/>
              <w:rPr>
                <w:rFonts w:ascii="宋体" w:hAnsi="宋体" w:eastAsia="宋体" w:cs="宋体"/>
                <w:color w:val="000000" w:themeColor="text1"/>
                <w:szCs w:val="21"/>
                <w14:textFill>
                  <w14:solidFill>
                    <w14:schemeClr w14:val="tx1"/>
                  </w14:solidFill>
                </w14:textFill>
              </w:rPr>
            </w:pPr>
          </w:p>
        </w:tc>
      </w:tr>
    </w:tbl>
    <w:p>
      <w:pPr>
        <w:spacing w:before="156" w:beforeLines="50"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备注：需提供证明资料内容详见</w:t>
      </w:r>
      <w:r>
        <w:rPr>
          <w:rFonts w:hint="eastAsia" w:ascii="宋体" w:hAnsi="宋体" w:eastAsia="宋体" w:cs="宋体"/>
          <w:color w:val="000000" w:themeColor="text1"/>
          <w:szCs w:val="21"/>
          <w:u w:val="single"/>
          <w14:textFill>
            <w14:solidFill>
              <w14:schemeClr w14:val="tx1"/>
            </w14:solidFill>
          </w14:textFill>
        </w:rPr>
        <w:t>（招标文件第四部分 评标方法、步骤、标准之附表三详细评审表相对应条款）</w:t>
      </w:r>
      <w:r>
        <w:rPr>
          <w:rFonts w:hint="eastAsia" w:ascii="宋体" w:hAnsi="宋体" w:eastAsia="宋体" w:cs="宋体"/>
          <w:color w:val="000000" w:themeColor="text1"/>
          <w:szCs w:val="21"/>
          <w14:textFill>
            <w14:solidFill>
              <w14:schemeClr w14:val="tx1"/>
            </w14:solidFill>
          </w14:textFill>
        </w:rPr>
        <w:t>。</w:t>
      </w:r>
    </w:p>
    <w:p>
      <w:pPr>
        <w:spacing w:before="156" w:beforeLines="50" w:after="468" w:afterLines="150"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兹证明上述声明是真实、正确的，并提供了全部能提供的资料和数据，我方同意遵照贵方要求出示有关证明文件。</w:t>
      </w:r>
    </w:p>
    <w:tbl>
      <w:tblPr>
        <w:tblStyle w:val="21"/>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53"/>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overflowPunct w:val="0"/>
              <w:adjustRightIn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投标人名称（加盖公章）：</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年           月            日</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bl>
    <w:p>
      <w:pPr>
        <w:tabs>
          <w:tab w:val="left" w:pos="567"/>
        </w:tabs>
        <w:adjustRightInd w:val="0"/>
        <w:snapToGrid w:val="0"/>
        <w:spacing w:line="360" w:lineRule="auto"/>
        <w:rPr>
          <w:b/>
          <w:color w:val="000000" w:themeColor="text1"/>
          <w:szCs w:val="21"/>
          <w14:textFill>
            <w14:solidFill>
              <w14:schemeClr w14:val="tx1"/>
            </w14:solidFill>
          </w14:textFill>
        </w:rPr>
      </w:pPr>
      <w:bookmarkStart w:id="146" w:name="_Toc391627761"/>
      <w:bookmarkStart w:id="147" w:name="_Toc405313965"/>
      <w:r>
        <w:rPr>
          <w:rFonts w:hint="eastAsia"/>
          <w:b/>
          <w:color w:val="000000" w:themeColor="text1"/>
          <w:szCs w:val="21"/>
          <w14:textFill>
            <w14:solidFill>
              <w14:schemeClr w14:val="tx1"/>
            </w14:solidFill>
          </w14:textFill>
        </w:rPr>
        <w:t>投标人的资格证明文件（提供复印件加盖公章）：</w:t>
      </w:r>
    </w:p>
    <w:p>
      <w:pPr>
        <w:numPr>
          <w:ilvl w:val="0"/>
          <w:numId w:val="55"/>
        </w:numPr>
        <w:tabs>
          <w:tab w:val="left" w:pos="426"/>
        </w:tabs>
        <w:adjustRightInd w:val="0"/>
        <w:snapToGrid w:val="0"/>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有效的企业法人营业执照（或法人登记证）或者其他组织的营业执照；</w:t>
      </w:r>
    </w:p>
    <w:p>
      <w:pPr>
        <w:numPr>
          <w:ilvl w:val="0"/>
          <w:numId w:val="55"/>
        </w:numPr>
        <w:tabs>
          <w:tab w:val="left" w:pos="426"/>
        </w:tabs>
        <w:adjustRightInd w:val="0"/>
        <w:snapToGrid w:val="0"/>
        <w:spacing w:line="360" w:lineRule="auto"/>
        <w:rPr>
          <w:rFonts w:ascii="宋体" w:hAnsi="宋体"/>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税务登记证、组织机构代码证、银行开户许可证；</w:t>
      </w:r>
    </w:p>
    <w:p>
      <w:pPr>
        <w:numPr>
          <w:ilvl w:val="0"/>
          <w:numId w:val="55"/>
        </w:numPr>
        <w:tabs>
          <w:tab w:val="left" w:pos="426"/>
        </w:tabs>
        <w:adjustRightInd w:val="0"/>
        <w:snapToGrid w:val="0"/>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上一年财务状况报告，其他组织或投标人新成立不足一年提供银行出具的资信证明材料；</w:t>
      </w:r>
    </w:p>
    <w:p>
      <w:pPr>
        <w:numPr>
          <w:ilvl w:val="0"/>
          <w:numId w:val="55"/>
        </w:numPr>
        <w:tabs>
          <w:tab w:val="left" w:pos="426"/>
        </w:tabs>
        <w:adjustRightInd w:val="0"/>
        <w:snapToGrid w:val="0"/>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近半年内开具的缴纳税收的凭据证明材料；如依法免税的，应提供相应文件证明其依法免税；</w:t>
      </w:r>
    </w:p>
    <w:p>
      <w:pPr>
        <w:numPr>
          <w:ilvl w:val="0"/>
          <w:numId w:val="55"/>
        </w:numPr>
        <w:tabs>
          <w:tab w:val="left" w:pos="426"/>
        </w:tabs>
        <w:adjustRightInd w:val="0"/>
        <w:snapToGrid w:val="0"/>
        <w:spacing w:line="360" w:lineRule="auto"/>
        <w:rPr>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近半年内开具的缴纳社会保险的凭据证明材料；如依法不需要缴纳社会保障资金的，应提供相应文件证明其依法不需要缴纳社会保障资金。</w:t>
      </w:r>
    </w:p>
    <w:p>
      <w:pPr>
        <w:numPr>
          <w:ilvl w:val="0"/>
          <w:numId w:val="55"/>
        </w:numPr>
        <w:tabs>
          <w:tab w:val="left" w:pos="426"/>
        </w:tabs>
        <w:adjustRightInd w:val="0"/>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投标人认为必要的其他材料。</w:t>
      </w:r>
    </w:p>
    <w:p>
      <w:pPr>
        <w:pStyle w:val="4"/>
        <w:keepNext w:val="0"/>
        <w:keepLines w:val="0"/>
        <w:pageBreakBefore/>
        <w:spacing w:line="415" w:lineRule="auto"/>
        <w:jc w:val="left"/>
        <w:rPr>
          <w:rStyle w:val="23"/>
          <w:rFonts w:ascii="宋体" w:hAnsi="宋体" w:eastAsia="宋体" w:cs="宋体"/>
          <w:b/>
          <w:bCs w:val="0"/>
          <w:color w:val="000000" w:themeColor="text1"/>
          <w:spacing w:val="12"/>
          <w:sz w:val="21"/>
          <w14:textFill>
            <w14:solidFill>
              <w14:schemeClr w14:val="tx1"/>
            </w14:solidFill>
          </w14:textFill>
        </w:rPr>
      </w:pPr>
      <w:bookmarkStart w:id="148" w:name="_Toc25107"/>
      <w:r>
        <w:rPr>
          <w:rStyle w:val="23"/>
          <w:rFonts w:hint="eastAsia" w:ascii="宋体" w:hAnsi="宋体" w:eastAsia="宋体" w:cs="宋体"/>
          <w:b/>
          <w:bCs w:val="0"/>
          <w:color w:val="000000" w:themeColor="text1"/>
          <w:spacing w:val="12"/>
          <w:sz w:val="21"/>
          <w14:textFill>
            <w14:solidFill>
              <w14:schemeClr w14:val="tx1"/>
            </w14:solidFill>
          </w14:textFill>
        </w:rPr>
        <w:t>附件2-6  承诺书</w:t>
      </w:r>
      <w:bookmarkEnd w:id="146"/>
      <w:bookmarkEnd w:id="147"/>
      <w:bookmarkEnd w:id="148"/>
    </w:p>
    <w:p>
      <w:pPr>
        <w:spacing w:after="312" w:afterLines="100" w:line="360" w:lineRule="auto"/>
        <w:jc w:val="center"/>
        <w:rPr>
          <w:rFonts w:ascii="宋体" w:hAnsi="宋体" w:eastAsia="宋体" w:cs="宋体"/>
          <w:b/>
          <w:color w:val="000000" w:themeColor="text1"/>
          <w:spacing w:val="20"/>
          <w:sz w:val="28"/>
          <w:szCs w:val="28"/>
          <w14:textFill>
            <w14:solidFill>
              <w14:schemeClr w14:val="tx1"/>
            </w14:solidFill>
          </w14:textFill>
        </w:rPr>
      </w:pPr>
      <w:r>
        <w:rPr>
          <w:rFonts w:hint="eastAsia" w:ascii="宋体" w:hAnsi="宋体" w:eastAsia="宋体" w:cs="宋体"/>
          <w:b/>
          <w:color w:val="000000" w:themeColor="text1"/>
          <w:spacing w:val="20"/>
          <w:sz w:val="28"/>
          <w:szCs w:val="28"/>
          <w14:textFill>
            <w14:solidFill>
              <w14:schemeClr w14:val="tx1"/>
            </w14:solidFill>
          </w14:textFill>
        </w:rPr>
        <w:t>承诺书</w:t>
      </w:r>
    </w:p>
    <w:p>
      <w:pPr>
        <w:pStyle w:val="33"/>
        <w:ind w:firstLine="441"/>
        <w:rPr>
          <w:rFonts w:ascii="宋体" w:eastAsia="宋体" w:cs="宋体"/>
          <w:color w:val="000000" w:themeColor="text1"/>
          <w:spacing w:val="2"/>
          <w:sz w:val="21"/>
          <w:szCs w:val="21"/>
          <w14:textFill>
            <w14:solidFill>
              <w14:schemeClr w14:val="tx1"/>
            </w14:solidFill>
          </w14:textFill>
        </w:rPr>
      </w:pPr>
      <w:bookmarkStart w:id="149" w:name="_Toc313537922"/>
      <w:r>
        <w:rPr>
          <w:rFonts w:hint="eastAsia" w:ascii="宋体" w:eastAsia="宋体" w:cs="宋体"/>
          <w:color w:val="000000" w:themeColor="text1"/>
          <w:spacing w:val="2"/>
          <w:sz w:val="21"/>
          <w:szCs w:val="21"/>
          <w14:textFill>
            <w14:solidFill>
              <w14:schemeClr w14:val="tx1"/>
            </w14:solidFill>
          </w14:textFill>
        </w:rPr>
        <w:t>我方已完整阅读了</w:t>
      </w:r>
      <w:r>
        <w:rPr>
          <w:rFonts w:hint="eastAsia" w:ascii="宋体" w:eastAsia="宋体" w:cs="宋体"/>
          <w:color w:val="000000" w:themeColor="text1"/>
          <w:spacing w:val="2"/>
          <w:sz w:val="21"/>
          <w:szCs w:val="21"/>
          <w:u w:val="single"/>
          <w14:textFill>
            <w14:solidFill>
              <w14:schemeClr w14:val="tx1"/>
            </w14:solidFill>
          </w14:textFill>
        </w:rPr>
        <w:t xml:space="preserve">    （</w:t>
      </w:r>
      <w:r>
        <w:rPr>
          <w:rFonts w:hint="eastAsia" w:ascii="宋体" w:eastAsia="宋体" w:cs="宋体"/>
          <w:b/>
          <w:color w:val="000000" w:themeColor="text1"/>
          <w:spacing w:val="2"/>
          <w:sz w:val="21"/>
          <w:szCs w:val="21"/>
          <w:u w:val="single"/>
          <w14:textFill>
            <w14:solidFill>
              <w14:schemeClr w14:val="tx1"/>
            </w14:solidFill>
          </w14:textFill>
        </w:rPr>
        <w:t>项目名称</w:t>
      </w:r>
      <w:r>
        <w:rPr>
          <w:rFonts w:hint="eastAsia" w:ascii="宋体" w:eastAsia="宋体" w:cs="宋体"/>
          <w:color w:val="000000" w:themeColor="text1"/>
          <w:spacing w:val="2"/>
          <w:sz w:val="21"/>
          <w:szCs w:val="21"/>
          <w:u w:val="single"/>
          <w14:textFill>
            <w14:solidFill>
              <w14:schemeClr w14:val="tx1"/>
            </w14:solidFill>
          </w14:textFill>
        </w:rPr>
        <w:t xml:space="preserve">）   </w:t>
      </w:r>
      <w:r>
        <w:rPr>
          <w:rFonts w:hint="eastAsia" w:ascii="宋体" w:eastAsia="宋体" w:cs="宋体"/>
          <w:color w:val="000000" w:themeColor="text1"/>
          <w:spacing w:val="2"/>
          <w:sz w:val="21"/>
          <w:szCs w:val="21"/>
          <w14:textFill>
            <w14:solidFill>
              <w14:schemeClr w14:val="tx1"/>
            </w14:solidFill>
          </w14:textFill>
        </w:rPr>
        <w:t>项目（项目编号：）招标文件的所有内容（包括澄清，以及所有已提供的参考资料和有关附件），并完全理解上述文件所表达的意思，该项目递交投标文件时间截止后，我方承诺不再对上述文件内容进行询问或质疑。</w:t>
      </w:r>
      <w:bookmarkEnd w:id="149"/>
      <w:r>
        <w:rPr>
          <w:rFonts w:hint="eastAsia" w:ascii="宋体" w:eastAsia="宋体" w:cs="宋体"/>
          <w:color w:val="000000" w:themeColor="text1"/>
          <w:spacing w:val="2"/>
          <w:sz w:val="21"/>
          <w:szCs w:val="21"/>
          <w14:textFill>
            <w14:solidFill>
              <w14:schemeClr w14:val="tx1"/>
            </w14:solidFill>
          </w14:textFill>
        </w:rPr>
        <w:cr/>
      </w:r>
    </w:p>
    <w:p>
      <w:pPr>
        <w:pStyle w:val="33"/>
        <w:ind w:firstLine="441"/>
        <w:rPr>
          <w:rFonts w:ascii="宋体" w:eastAsia="宋体" w:cs="宋体"/>
          <w:color w:val="000000" w:themeColor="text1"/>
          <w:spacing w:val="2"/>
          <w:sz w:val="2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tbl>
      <w:tblPr>
        <w:tblStyle w:val="21"/>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02"/>
        <w:gridCol w:w="57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02" w:type="dxa"/>
          </w:tcPr>
          <w:p>
            <w:pPr>
              <w:spacing w:line="360" w:lineRule="auto"/>
              <w:rPr>
                <w:rFonts w:ascii="宋体" w:hAnsi="宋体" w:eastAsia="宋体" w:cs="宋体"/>
                <w:color w:val="000000" w:themeColor="text1"/>
                <w:szCs w:val="21"/>
                <w14:textFill>
                  <w14:solidFill>
                    <w14:schemeClr w14:val="tx1"/>
                  </w14:solidFill>
                </w14:textFill>
              </w:rPr>
            </w:pPr>
          </w:p>
        </w:tc>
        <w:tc>
          <w:tcPr>
            <w:tcW w:w="5726"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投标人名称（加盖公章）：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02" w:type="dxa"/>
          </w:tcPr>
          <w:p>
            <w:pPr>
              <w:spacing w:line="360" w:lineRule="auto"/>
              <w:rPr>
                <w:rFonts w:ascii="宋体" w:hAnsi="宋体" w:eastAsia="宋体" w:cs="宋体"/>
                <w:color w:val="000000" w:themeColor="text1"/>
                <w:szCs w:val="21"/>
                <w14:textFill>
                  <w14:solidFill>
                    <w14:schemeClr w14:val="tx1"/>
                  </w14:solidFill>
                </w14:textFill>
              </w:rPr>
            </w:pPr>
          </w:p>
        </w:tc>
        <w:tc>
          <w:tcPr>
            <w:tcW w:w="5726"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投标人法定代表人或被授权人（签名或盖私章）：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02" w:type="dxa"/>
          </w:tcPr>
          <w:p>
            <w:pPr>
              <w:spacing w:line="360" w:lineRule="auto"/>
              <w:rPr>
                <w:rFonts w:ascii="宋体" w:hAnsi="宋体" w:eastAsia="宋体" w:cs="宋体"/>
                <w:color w:val="000000" w:themeColor="text1"/>
                <w:szCs w:val="21"/>
                <w14:textFill>
                  <w14:solidFill>
                    <w14:schemeClr w14:val="tx1"/>
                  </w14:solidFill>
                </w14:textFill>
              </w:rPr>
            </w:pPr>
          </w:p>
        </w:tc>
        <w:tc>
          <w:tcPr>
            <w:tcW w:w="5726"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年            月              日</w:t>
            </w:r>
          </w:p>
        </w:tc>
      </w:tr>
    </w:tbl>
    <w:p>
      <w:pPr>
        <w:spacing w:line="360" w:lineRule="auto"/>
        <w:rPr>
          <w:rFonts w:ascii="宋体" w:hAnsi="宋体" w:eastAsia="宋体" w:cs="宋体"/>
          <w:color w:val="000000" w:themeColor="text1"/>
          <w:szCs w:val="21"/>
          <w14:textFill>
            <w14:solidFill>
              <w14:schemeClr w14:val="tx1"/>
            </w14:solidFill>
          </w14:textFill>
        </w:rPr>
      </w:pPr>
    </w:p>
    <w:p>
      <w:pPr>
        <w:pStyle w:val="33"/>
        <w:spacing w:line="520" w:lineRule="exact"/>
        <w:ind w:firstLine="0" w:firstLineChars="0"/>
        <w:rPr>
          <w:rFonts w:ascii="宋体" w:eastAsia="宋体" w:cs="宋体"/>
          <w:color w:val="000000" w:themeColor="text1"/>
          <w:sz w:val="21"/>
          <w:szCs w:val="21"/>
          <w14:textFill>
            <w14:solidFill>
              <w14:schemeClr w14:val="tx1"/>
            </w14:solidFill>
          </w14:textFill>
        </w:rPr>
      </w:pPr>
    </w:p>
    <w:p>
      <w:pPr>
        <w:pStyle w:val="33"/>
        <w:spacing w:line="520" w:lineRule="exact"/>
        <w:ind w:firstLine="0" w:firstLineChars="0"/>
        <w:rPr>
          <w:rFonts w:ascii="宋体" w:eastAsia="宋体" w:cs="宋体"/>
          <w:color w:val="000000" w:themeColor="text1"/>
          <w:sz w:val="21"/>
          <w:szCs w:val="21"/>
          <w14:textFill>
            <w14:solidFill>
              <w14:schemeClr w14:val="tx1"/>
            </w14:solidFill>
          </w14:textFill>
        </w:rPr>
      </w:pPr>
    </w:p>
    <w:p>
      <w:pPr>
        <w:pStyle w:val="33"/>
        <w:spacing w:line="520" w:lineRule="exact"/>
        <w:ind w:firstLine="0" w:firstLineChars="0"/>
        <w:rPr>
          <w:rFonts w:ascii="宋体" w:eastAsia="宋体" w:cs="宋体"/>
          <w:color w:val="000000" w:themeColor="text1"/>
          <w:sz w:val="21"/>
          <w:szCs w:val="21"/>
          <w14:textFill>
            <w14:solidFill>
              <w14:schemeClr w14:val="tx1"/>
            </w14:solidFill>
          </w14:textFill>
        </w:rPr>
      </w:pPr>
    </w:p>
    <w:p>
      <w:pPr>
        <w:pStyle w:val="33"/>
        <w:spacing w:line="520" w:lineRule="exact"/>
        <w:ind w:firstLine="0" w:firstLineChars="0"/>
        <w:rPr>
          <w:rFonts w:ascii="宋体" w:eastAsia="宋体" w:cs="宋体"/>
          <w:color w:val="000000" w:themeColor="text1"/>
          <w:sz w:val="21"/>
          <w:szCs w:val="21"/>
          <w14:textFill>
            <w14:solidFill>
              <w14:schemeClr w14:val="tx1"/>
            </w14:solidFill>
          </w14:textFill>
        </w:rPr>
      </w:pPr>
    </w:p>
    <w:p>
      <w:pPr>
        <w:pStyle w:val="33"/>
        <w:spacing w:line="520" w:lineRule="exact"/>
        <w:ind w:firstLine="0" w:firstLineChars="0"/>
        <w:rPr>
          <w:rFonts w:ascii="宋体" w:eastAsia="宋体" w:cs="宋体"/>
          <w:color w:val="000000" w:themeColor="text1"/>
          <w:sz w:val="21"/>
          <w:szCs w:val="21"/>
          <w14:textFill>
            <w14:solidFill>
              <w14:schemeClr w14:val="tx1"/>
            </w14:solidFill>
          </w14:textFill>
        </w:rPr>
      </w:pPr>
    </w:p>
    <w:p>
      <w:pPr>
        <w:pStyle w:val="33"/>
        <w:spacing w:line="520" w:lineRule="exact"/>
        <w:ind w:firstLine="0" w:firstLineChars="0"/>
        <w:rPr>
          <w:rFonts w:ascii="宋体" w:eastAsia="宋体" w:cs="宋体"/>
          <w:color w:val="000000" w:themeColor="text1"/>
          <w:sz w:val="21"/>
          <w:szCs w:val="21"/>
          <w14:textFill>
            <w14:solidFill>
              <w14:schemeClr w14:val="tx1"/>
            </w14:solidFill>
          </w14:textFill>
        </w:rPr>
      </w:pPr>
    </w:p>
    <w:p>
      <w:pPr>
        <w:pStyle w:val="33"/>
        <w:spacing w:line="520" w:lineRule="exact"/>
        <w:ind w:firstLine="0" w:firstLineChars="0"/>
        <w:rPr>
          <w:rFonts w:ascii="宋体" w:eastAsia="宋体" w:cs="宋体"/>
          <w:color w:val="000000" w:themeColor="text1"/>
          <w:sz w:val="21"/>
          <w:szCs w:val="21"/>
          <w14:textFill>
            <w14:solidFill>
              <w14:schemeClr w14:val="tx1"/>
            </w14:solidFill>
          </w14:textFill>
        </w:rPr>
      </w:pPr>
    </w:p>
    <w:p>
      <w:pPr>
        <w:pStyle w:val="33"/>
        <w:spacing w:line="520" w:lineRule="exact"/>
        <w:ind w:firstLine="0" w:firstLineChars="0"/>
        <w:rPr>
          <w:rFonts w:ascii="宋体" w:eastAsia="宋体" w:cs="宋体"/>
          <w:color w:val="000000" w:themeColor="text1"/>
          <w:sz w:val="21"/>
          <w:szCs w:val="21"/>
          <w14:textFill>
            <w14:solidFill>
              <w14:schemeClr w14:val="tx1"/>
            </w14:solidFill>
          </w14:textFill>
        </w:rPr>
      </w:pPr>
    </w:p>
    <w:p>
      <w:pPr>
        <w:pStyle w:val="33"/>
        <w:spacing w:line="520" w:lineRule="exact"/>
        <w:ind w:firstLine="0" w:firstLineChars="0"/>
        <w:rPr>
          <w:rFonts w:ascii="宋体" w:eastAsia="宋体" w:cs="宋体"/>
          <w:color w:val="000000" w:themeColor="text1"/>
          <w:sz w:val="21"/>
          <w:szCs w:val="21"/>
          <w14:textFill>
            <w14:solidFill>
              <w14:schemeClr w14:val="tx1"/>
            </w14:solidFill>
          </w14:textFill>
        </w:rPr>
      </w:pPr>
    </w:p>
    <w:p>
      <w:pPr>
        <w:pStyle w:val="33"/>
        <w:spacing w:line="520" w:lineRule="exact"/>
        <w:ind w:firstLine="0" w:firstLineChars="0"/>
        <w:rPr>
          <w:rFonts w:ascii="宋体" w:eastAsia="宋体" w:cs="宋体"/>
          <w:color w:val="000000" w:themeColor="text1"/>
          <w:sz w:val="21"/>
          <w:szCs w:val="21"/>
          <w14:textFill>
            <w14:solidFill>
              <w14:schemeClr w14:val="tx1"/>
            </w14:solidFill>
          </w14:textFill>
        </w:rPr>
      </w:pPr>
    </w:p>
    <w:p>
      <w:pPr>
        <w:pStyle w:val="33"/>
        <w:spacing w:line="520" w:lineRule="exact"/>
        <w:ind w:firstLine="0" w:firstLineChars="0"/>
        <w:rPr>
          <w:rFonts w:ascii="宋体" w:eastAsia="宋体" w:cs="宋体"/>
          <w:color w:val="000000" w:themeColor="text1"/>
          <w:sz w:val="21"/>
          <w:szCs w:val="21"/>
          <w14:textFill>
            <w14:solidFill>
              <w14:schemeClr w14:val="tx1"/>
            </w14:solidFill>
          </w14:textFill>
        </w:rPr>
      </w:pPr>
    </w:p>
    <w:p>
      <w:pPr>
        <w:pStyle w:val="33"/>
        <w:spacing w:line="520" w:lineRule="exact"/>
        <w:ind w:firstLine="0" w:firstLineChars="0"/>
        <w:rPr>
          <w:rFonts w:ascii="宋体" w:eastAsia="宋体" w:cs="宋体"/>
          <w:color w:val="000000" w:themeColor="text1"/>
          <w:sz w:val="21"/>
          <w:szCs w:val="21"/>
          <w14:textFill>
            <w14:solidFill>
              <w14:schemeClr w14:val="tx1"/>
            </w14:solidFill>
          </w14:textFill>
        </w:rPr>
      </w:pPr>
    </w:p>
    <w:p>
      <w:pPr>
        <w:pStyle w:val="4"/>
        <w:keepNext w:val="0"/>
        <w:keepLines w:val="0"/>
        <w:pageBreakBefore/>
        <w:spacing w:line="415" w:lineRule="auto"/>
        <w:jc w:val="left"/>
        <w:rPr>
          <w:rStyle w:val="23"/>
          <w:rFonts w:ascii="宋体" w:hAnsi="宋体" w:eastAsia="宋体" w:cs="宋体"/>
          <w:b/>
          <w:bCs w:val="0"/>
          <w:color w:val="000000" w:themeColor="text1"/>
          <w:spacing w:val="12"/>
          <w:sz w:val="21"/>
          <w14:textFill>
            <w14:solidFill>
              <w14:schemeClr w14:val="tx1"/>
            </w14:solidFill>
          </w14:textFill>
        </w:rPr>
      </w:pPr>
      <w:bookmarkStart w:id="150" w:name="_Toc391627763"/>
      <w:bookmarkStart w:id="151" w:name="_Toc405313967"/>
      <w:bookmarkStart w:id="152" w:name="_Toc23501"/>
      <w:r>
        <w:rPr>
          <w:rStyle w:val="23"/>
          <w:rFonts w:hint="eastAsia" w:ascii="宋体" w:hAnsi="宋体" w:eastAsia="宋体" w:cs="宋体"/>
          <w:b/>
          <w:bCs w:val="0"/>
          <w:color w:val="000000" w:themeColor="text1"/>
          <w:spacing w:val="12"/>
          <w:sz w:val="21"/>
          <w14:textFill>
            <w14:solidFill>
              <w14:schemeClr w14:val="tx1"/>
            </w14:solidFill>
          </w14:textFill>
        </w:rPr>
        <w:t>附件2-7  商务差异表</w:t>
      </w:r>
      <w:bookmarkEnd w:id="150"/>
      <w:bookmarkEnd w:id="151"/>
      <w:bookmarkEnd w:id="152"/>
    </w:p>
    <w:p>
      <w:pPr>
        <w:spacing w:after="312" w:afterLines="100" w:line="360" w:lineRule="auto"/>
        <w:jc w:val="center"/>
        <w:rPr>
          <w:rFonts w:ascii="宋体" w:hAnsi="宋体" w:eastAsia="宋体" w:cs="宋体"/>
          <w:b/>
          <w:color w:val="000000" w:themeColor="text1"/>
          <w:spacing w:val="20"/>
          <w:sz w:val="28"/>
          <w:szCs w:val="28"/>
          <w14:textFill>
            <w14:solidFill>
              <w14:schemeClr w14:val="tx1"/>
            </w14:solidFill>
          </w14:textFill>
        </w:rPr>
      </w:pPr>
      <w:r>
        <w:rPr>
          <w:rFonts w:hint="eastAsia" w:ascii="宋体" w:hAnsi="宋体" w:eastAsia="宋体" w:cs="宋体"/>
          <w:b/>
          <w:color w:val="000000" w:themeColor="text1"/>
          <w:spacing w:val="20"/>
          <w:sz w:val="28"/>
          <w:szCs w:val="28"/>
          <w14:textFill>
            <w14:solidFill>
              <w14:schemeClr w14:val="tx1"/>
            </w14:solidFill>
          </w14:textFill>
        </w:rPr>
        <w:t>商务差异表</w:t>
      </w:r>
    </w:p>
    <w:tbl>
      <w:tblPr>
        <w:tblStyle w:val="20"/>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2567"/>
        <w:gridCol w:w="2700"/>
        <w:gridCol w:w="1409"/>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8528" w:type="dxa"/>
            <w:gridSpan w:val="5"/>
            <w:vAlign w:val="center"/>
          </w:tcPr>
          <w:p>
            <w:pPr>
              <w:spacing w:line="360" w:lineRule="auto"/>
              <w:jc w:val="left"/>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项目名称：</w:t>
            </w:r>
            <w:r>
              <w:rPr>
                <w:rFonts w:hint="eastAsia" w:ascii="宋体" w:hAnsi="宋体" w:eastAsia="宋体" w:cs="宋体"/>
                <w:b/>
                <w:color w:val="000000" w:themeColor="text1"/>
                <w:szCs w:val="21"/>
                <w14:textFill>
                  <w14:solidFill>
                    <w14:schemeClr w14:val="tx1"/>
                  </w14:solidFill>
                </w14:textFill>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822" w:type="dxa"/>
            <w:vAlign w:val="center"/>
          </w:tcPr>
          <w:p>
            <w:pPr>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序号</w:t>
            </w:r>
          </w:p>
        </w:tc>
        <w:tc>
          <w:tcPr>
            <w:tcW w:w="2567" w:type="dxa"/>
            <w:vAlign w:val="center"/>
          </w:tcPr>
          <w:p>
            <w:pPr>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招标文件要求</w:t>
            </w:r>
          </w:p>
        </w:tc>
        <w:tc>
          <w:tcPr>
            <w:tcW w:w="2700" w:type="dxa"/>
            <w:vAlign w:val="center"/>
          </w:tcPr>
          <w:p>
            <w:pPr>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投标文件响应内容</w:t>
            </w:r>
          </w:p>
        </w:tc>
        <w:tc>
          <w:tcPr>
            <w:tcW w:w="1409"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偏离情况</w:t>
            </w:r>
          </w:p>
        </w:tc>
        <w:tc>
          <w:tcPr>
            <w:tcW w:w="1030"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822"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567"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700" w:type="dxa"/>
            <w:vAlign w:val="center"/>
          </w:tcPr>
          <w:p>
            <w:pPr>
              <w:pStyle w:val="15"/>
              <w:jc w:val="center"/>
              <w:rPr>
                <w:rFonts w:ascii="宋体" w:hAnsi="宋体" w:eastAsia="宋体" w:cs="宋体"/>
                <w:color w:val="000000" w:themeColor="text1"/>
                <w14:textFill>
                  <w14:solidFill>
                    <w14:schemeClr w14:val="tx1"/>
                  </w14:solidFill>
                </w14:textFill>
              </w:rPr>
            </w:pPr>
          </w:p>
        </w:tc>
        <w:tc>
          <w:tcPr>
            <w:tcW w:w="1409"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030"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822"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567"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700"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409"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030"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822"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567"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700"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409"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030"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822"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567"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700"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409"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030"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822"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567"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700"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409"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030"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822"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567"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700"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409"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030"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r>
    </w:tbl>
    <w:p>
      <w:pPr>
        <w:spacing w:before="156" w:beforeLines="50"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注明：</w:t>
      </w:r>
    </w:p>
    <w:p>
      <w:pPr>
        <w:pStyle w:val="29"/>
        <w:numPr>
          <w:ilvl w:val="0"/>
          <w:numId w:val="56"/>
        </w:numPr>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偏离情况项填写“正”、“负”或“无”，说明项中填写原因。</w:t>
      </w:r>
    </w:p>
    <w:p>
      <w:pPr>
        <w:pStyle w:val="29"/>
        <w:numPr>
          <w:ilvl w:val="0"/>
          <w:numId w:val="56"/>
        </w:numPr>
        <w:spacing w:line="360" w:lineRule="auto"/>
        <w:ind w:firstLineChars="0"/>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投标人应按照招标文件要求，根据"用户需求书"商务内容作出全面响应。对响应有偏离的，则说明偏离的内容。"用户需求书"商务内容中若有要求提供相关证明资料的，须按要求提供，否则视为负偏离。</w:t>
      </w: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tbl>
      <w:tblPr>
        <w:tblStyle w:val="21"/>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53"/>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overflowPunct w:val="0"/>
              <w:adjustRightIn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投标人名称（加盖公章）：</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年           月            日</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bl>
    <w:p>
      <w:pPr>
        <w:spacing w:line="360" w:lineRule="auto"/>
        <w:rPr>
          <w:rFonts w:ascii="宋体" w:hAnsi="宋体" w:eastAsia="宋体" w:cs="宋体"/>
          <w:color w:val="000000" w:themeColor="text1"/>
          <w:szCs w:val="21"/>
          <w14:textFill>
            <w14:solidFill>
              <w14:schemeClr w14:val="tx1"/>
            </w14:solidFill>
          </w14:textFill>
        </w:rPr>
      </w:pPr>
    </w:p>
    <w:p>
      <w:pPr>
        <w:pStyle w:val="4"/>
        <w:keepNext w:val="0"/>
        <w:keepLines w:val="0"/>
        <w:pageBreakBefore/>
        <w:spacing w:line="415" w:lineRule="auto"/>
        <w:jc w:val="left"/>
        <w:rPr>
          <w:rStyle w:val="23"/>
          <w:rFonts w:ascii="宋体" w:hAnsi="宋体" w:eastAsia="宋体" w:cs="宋体"/>
          <w:b/>
          <w:bCs w:val="0"/>
          <w:color w:val="000000" w:themeColor="text1"/>
          <w:spacing w:val="12"/>
          <w:sz w:val="21"/>
          <w14:textFill>
            <w14:solidFill>
              <w14:schemeClr w14:val="tx1"/>
            </w14:solidFill>
          </w14:textFill>
        </w:rPr>
      </w:pPr>
      <w:bookmarkStart w:id="153" w:name="_Toc391627765"/>
      <w:bookmarkStart w:id="154" w:name="_Toc2111"/>
      <w:bookmarkStart w:id="155" w:name="_Toc405313968"/>
      <w:r>
        <w:rPr>
          <w:rStyle w:val="23"/>
          <w:rFonts w:hint="eastAsia" w:ascii="宋体" w:hAnsi="宋体" w:eastAsia="宋体" w:cs="宋体"/>
          <w:b/>
          <w:bCs w:val="0"/>
          <w:color w:val="000000" w:themeColor="text1"/>
          <w:spacing w:val="12"/>
          <w:sz w:val="21"/>
          <w14:textFill>
            <w14:solidFill>
              <w14:schemeClr w14:val="tx1"/>
            </w14:solidFill>
          </w14:textFill>
        </w:rPr>
        <w:t>附件2-8  业绩表格式</w:t>
      </w:r>
      <w:bookmarkEnd w:id="153"/>
      <w:bookmarkEnd w:id="154"/>
      <w:bookmarkEnd w:id="155"/>
    </w:p>
    <w:p>
      <w:pPr>
        <w:spacing w:after="312" w:afterLines="100" w:line="360" w:lineRule="auto"/>
        <w:jc w:val="center"/>
        <w:rPr>
          <w:rFonts w:ascii="宋体" w:hAnsi="宋体" w:eastAsia="宋体" w:cs="宋体"/>
          <w:b/>
          <w:color w:val="000000" w:themeColor="text1"/>
          <w:spacing w:val="20"/>
          <w:sz w:val="28"/>
          <w:szCs w:val="28"/>
          <w14:textFill>
            <w14:solidFill>
              <w14:schemeClr w14:val="tx1"/>
            </w14:solidFill>
          </w14:textFill>
        </w:rPr>
      </w:pPr>
      <w:r>
        <w:rPr>
          <w:rFonts w:hint="eastAsia" w:ascii="宋体" w:hAnsi="宋体" w:eastAsia="宋体" w:cs="宋体"/>
          <w:b/>
          <w:color w:val="000000" w:themeColor="text1"/>
          <w:spacing w:val="20"/>
          <w:sz w:val="28"/>
          <w:szCs w:val="28"/>
          <w14:textFill>
            <w14:solidFill>
              <w14:schemeClr w14:val="tx1"/>
            </w14:solidFill>
          </w14:textFill>
        </w:rPr>
        <w:t>业绩表</w:t>
      </w:r>
    </w:p>
    <w:tbl>
      <w:tblPr>
        <w:tblStyle w:val="20"/>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297"/>
        <w:gridCol w:w="1562"/>
        <w:gridCol w:w="1557"/>
        <w:gridCol w:w="1416"/>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8528" w:type="dxa"/>
            <w:gridSpan w:val="6"/>
            <w:vAlign w:val="center"/>
          </w:tcPr>
          <w:p>
            <w:pPr>
              <w:spacing w:before="156" w:after="156" w:line="240" w:lineRule="exact"/>
              <w:jc w:val="left"/>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项目名称：</w:t>
            </w:r>
            <w:r>
              <w:rPr>
                <w:rFonts w:hint="eastAsia" w:ascii="宋体" w:hAnsi="宋体" w:eastAsia="宋体" w:cs="宋体"/>
                <w:b/>
                <w:color w:val="000000" w:themeColor="text1"/>
                <w:szCs w:val="21"/>
                <w14:textFill>
                  <w14:solidFill>
                    <w14:schemeClr w14:val="tx1"/>
                  </w14:solidFill>
                </w14:textFill>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647" w:type="dxa"/>
            <w:vAlign w:val="center"/>
          </w:tcPr>
          <w:p>
            <w:pPr>
              <w:spacing w:before="156" w:after="156" w:line="240" w:lineRule="exact"/>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序号</w:t>
            </w:r>
          </w:p>
        </w:tc>
        <w:tc>
          <w:tcPr>
            <w:tcW w:w="2297" w:type="dxa"/>
            <w:vAlign w:val="center"/>
          </w:tcPr>
          <w:p>
            <w:pPr>
              <w:spacing w:before="156" w:after="156" w:line="240" w:lineRule="exact"/>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项目名称</w:t>
            </w:r>
          </w:p>
        </w:tc>
        <w:tc>
          <w:tcPr>
            <w:tcW w:w="1562" w:type="dxa"/>
            <w:vAlign w:val="center"/>
          </w:tcPr>
          <w:p>
            <w:pPr>
              <w:spacing w:before="156" w:after="156" w:line="240" w:lineRule="exact"/>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合同金额</w:t>
            </w:r>
          </w:p>
        </w:tc>
        <w:tc>
          <w:tcPr>
            <w:tcW w:w="1557" w:type="dxa"/>
            <w:vAlign w:val="center"/>
          </w:tcPr>
          <w:p>
            <w:pPr>
              <w:spacing w:before="156" w:after="156" w:line="240" w:lineRule="exact"/>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签约时间</w:t>
            </w:r>
          </w:p>
        </w:tc>
        <w:tc>
          <w:tcPr>
            <w:tcW w:w="1416" w:type="dxa"/>
            <w:vAlign w:val="center"/>
          </w:tcPr>
          <w:p>
            <w:pPr>
              <w:spacing w:before="156" w:after="156" w:line="240" w:lineRule="exact"/>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完成情况</w:t>
            </w:r>
          </w:p>
        </w:tc>
        <w:tc>
          <w:tcPr>
            <w:tcW w:w="1049" w:type="dxa"/>
            <w:vAlign w:val="center"/>
          </w:tcPr>
          <w:p>
            <w:pPr>
              <w:spacing w:before="156" w:after="156" w:line="240" w:lineRule="exact"/>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2297"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562"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557"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416"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049"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2297"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562"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557"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416"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049"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2297"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562"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557"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416"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049"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2297"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562"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557"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416"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049"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2297"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562"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557"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416"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049"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2297"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562"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557"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416"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049"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2297"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562"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557"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416"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049"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2297"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562"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557"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416"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049"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2297"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562"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557"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416"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c>
          <w:tcPr>
            <w:tcW w:w="1049" w:type="dxa"/>
            <w:vAlign w:val="center"/>
          </w:tcPr>
          <w:p>
            <w:pPr>
              <w:spacing w:before="156" w:after="156" w:line="240" w:lineRule="exact"/>
              <w:jc w:val="center"/>
              <w:rPr>
                <w:rFonts w:ascii="宋体" w:hAnsi="宋体" w:eastAsia="宋体" w:cs="宋体"/>
                <w:color w:val="000000" w:themeColor="text1"/>
                <w:szCs w:val="21"/>
                <w14:textFill>
                  <w14:solidFill>
                    <w14:schemeClr w14:val="tx1"/>
                  </w14:solidFill>
                </w14:textFill>
              </w:rPr>
            </w:pPr>
          </w:p>
        </w:tc>
      </w:tr>
    </w:tbl>
    <w:p>
      <w:pPr>
        <w:spacing w:before="156" w:beforeLines="50"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注明：需提供证明资料内容详见</w:t>
      </w:r>
      <w:r>
        <w:rPr>
          <w:rFonts w:hint="eastAsia" w:ascii="宋体" w:hAnsi="宋体" w:eastAsia="宋体" w:cs="宋体"/>
          <w:color w:val="000000" w:themeColor="text1"/>
          <w:szCs w:val="21"/>
          <w:u w:val="single"/>
          <w14:textFill>
            <w14:solidFill>
              <w14:schemeClr w14:val="tx1"/>
            </w14:solidFill>
          </w14:textFill>
        </w:rPr>
        <w:t xml:space="preserve">（招标文件第四部分 评标方法、步骤、标准之附表三详细评审表相对应条款） </w:t>
      </w:r>
      <w:r>
        <w:rPr>
          <w:rFonts w:hint="eastAsia" w:ascii="宋体" w:hAnsi="宋体" w:eastAsia="宋体" w:cs="宋体"/>
          <w:color w:val="000000" w:themeColor="text1"/>
          <w:szCs w:val="21"/>
          <w14:textFill>
            <w14:solidFill>
              <w14:schemeClr w14:val="tx1"/>
            </w14:solidFill>
          </w14:textFill>
        </w:rPr>
        <w:t>。</w:t>
      </w: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tbl>
      <w:tblPr>
        <w:tblStyle w:val="21"/>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53"/>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overflowPunct w:val="0"/>
              <w:adjustRightIn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投标人名称（加盖公章）：</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年           月            日</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bl>
    <w:p>
      <w:pPr>
        <w:spacing w:line="360" w:lineRule="auto"/>
        <w:rPr>
          <w:rFonts w:ascii="宋体" w:hAnsi="宋体" w:eastAsia="宋体" w:cs="宋体"/>
          <w:color w:val="000000" w:themeColor="text1"/>
          <w:szCs w:val="21"/>
          <w14:textFill>
            <w14:solidFill>
              <w14:schemeClr w14:val="tx1"/>
            </w14:solidFill>
          </w14:textFill>
        </w:rPr>
      </w:pPr>
    </w:p>
    <w:p>
      <w:pPr>
        <w:pStyle w:val="4"/>
        <w:keepNext w:val="0"/>
        <w:keepLines w:val="0"/>
        <w:pageBreakBefore/>
        <w:spacing w:line="415" w:lineRule="auto"/>
        <w:jc w:val="left"/>
        <w:rPr>
          <w:rStyle w:val="23"/>
          <w:rFonts w:ascii="宋体" w:hAnsi="宋体" w:eastAsia="宋体" w:cs="宋体"/>
          <w:b/>
          <w:bCs w:val="0"/>
          <w:color w:val="000000" w:themeColor="text1"/>
          <w:spacing w:val="12"/>
          <w:sz w:val="21"/>
          <w14:textFill>
            <w14:solidFill>
              <w14:schemeClr w14:val="tx1"/>
            </w14:solidFill>
          </w14:textFill>
        </w:rPr>
      </w:pPr>
      <w:bookmarkStart w:id="156" w:name="_Toc21878"/>
      <w:bookmarkStart w:id="157" w:name="_Toc405313971"/>
      <w:bookmarkStart w:id="158" w:name="_Toc391627767"/>
      <w:r>
        <w:rPr>
          <w:rStyle w:val="23"/>
          <w:rFonts w:hint="eastAsia" w:ascii="宋体" w:hAnsi="宋体" w:eastAsia="宋体" w:cs="宋体"/>
          <w:b/>
          <w:bCs w:val="0"/>
          <w:color w:val="000000" w:themeColor="text1"/>
          <w:spacing w:val="12"/>
          <w:sz w:val="21"/>
          <w14:textFill>
            <w14:solidFill>
              <w14:schemeClr w14:val="tx1"/>
            </w14:solidFill>
          </w14:textFill>
        </w:rPr>
        <w:t>附件2-9资料、证件原件核查承诺书</w:t>
      </w:r>
      <w:bookmarkEnd w:id="156"/>
      <w:bookmarkEnd w:id="157"/>
      <w:bookmarkEnd w:id="158"/>
    </w:p>
    <w:p>
      <w:pPr>
        <w:spacing w:before="624" w:beforeLines="200" w:after="624" w:afterLines="200" w:line="360" w:lineRule="auto"/>
        <w:jc w:val="center"/>
        <w:rPr>
          <w:rFonts w:ascii="宋体" w:hAnsi="宋体" w:eastAsia="宋体" w:cs="宋体"/>
          <w:b/>
          <w:color w:val="000000" w:themeColor="text1"/>
          <w:spacing w:val="20"/>
          <w:sz w:val="28"/>
          <w:szCs w:val="28"/>
          <w14:textFill>
            <w14:solidFill>
              <w14:schemeClr w14:val="tx1"/>
            </w14:solidFill>
          </w14:textFill>
        </w:rPr>
      </w:pPr>
      <w:r>
        <w:rPr>
          <w:rFonts w:hint="eastAsia" w:ascii="宋体" w:hAnsi="宋体" w:eastAsia="宋体" w:cs="宋体"/>
          <w:b/>
          <w:color w:val="000000" w:themeColor="text1"/>
          <w:spacing w:val="20"/>
          <w:sz w:val="28"/>
          <w:szCs w:val="28"/>
          <w14:textFill>
            <w14:solidFill>
              <w14:schemeClr w14:val="tx1"/>
            </w14:solidFill>
          </w14:textFill>
        </w:rPr>
        <w:t>资料、证件原件核查承诺书</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根据</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b/>
          <w:color w:val="000000" w:themeColor="text1"/>
          <w:szCs w:val="21"/>
          <w:u w:val="single"/>
          <w14:textFill>
            <w14:solidFill>
              <w14:schemeClr w14:val="tx1"/>
            </w14:solidFill>
          </w14:textFill>
        </w:rPr>
        <w:t>项目名称</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b/>
          <w:color w:val="000000" w:themeColor="text1"/>
          <w:szCs w:val="21"/>
          <w14:textFill>
            <w14:solidFill>
              <w14:schemeClr w14:val="tx1"/>
            </w14:solidFill>
          </w14:textFill>
        </w:rPr>
        <w:t>项目编号：</w:t>
      </w:r>
      <w:r>
        <w:rPr>
          <w:rFonts w:hint="eastAsia" w:ascii="宋体" w:hAnsi="宋体" w:eastAsia="宋体" w:cs="宋体"/>
          <w:color w:val="000000" w:themeColor="text1"/>
          <w:szCs w:val="21"/>
          <w14:textFill>
            <w14:solidFill>
              <w14:schemeClr w14:val="tx1"/>
            </w14:solidFill>
          </w14:textFill>
        </w:rPr>
        <w:t>）招标文件的要求，我方承诺如中标后，在结果公示后的三个工作日内，提交投标文件中所提供的所有资质证件及相关证明文件原件【包括但不限于</w:t>
      </w:r>
      <w:r>
        <w:rPr>
          <w:rFonts w:hint="eastAsia" w:ascii="宋体" w:hAnsi="宋体" w:eastAsia="宋体" w:cs="宋体"/>
          <w:bCs/>
          <w:color w:val="000000" w:themeColor="text1"/>
          <w:szCs w:val="21"/>
          <w14:textFill>
            <w14:solidFill>
              <w14:schemeClr w14:val="tx1"/>
            </w14:solidFill>
          </w14:textFill>
        </w:rPr>
        <w:t>营业执照或事业单位法人证书、税务登记证、组织机构代码证、银行开户许可证和在投标文件中提供的资质证明文件、业绩合同等参与了第四部分 评标方法、步骤、标准所有评审附件内容的主要证明文件（如授权其分支机构进行项目实施或提供售后服务的，亦应提供其与分支机构关系的法律证明材料）】</w:t>
      </w:r>
      <w:r>
        <w:rPr>
          <w:rFonts w:hint="eastAsia" w:ascii="宋体" w:hAnsi="宋体" w:eastAsia="宋体" w:cs="宋体"/>
          <w:color w:val="000000" w:themeColor="text1"/>
          <w:szCs w:val="21"/>
          <w14:textFill>
            <w14:solidFill>
              <w14:schemeClr w14:val="tx1"/>
            </w14:solidFill>
          </w14:textFill>
        </w:rPr>
        <w:t>到采购代理机构进行核对。</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如不能提供证件原件或经查实有虚假的，取消我方中标资格，并交给政府采购管理部门进行处理。</w:t>
      </w: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tbl>
      <w:tblPr>
        <w:tblStyle w:val="21"/>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53"/>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overflowPunct w:val="0"/>
              <w:adjustRightIn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投标人名称（加盖公章）：</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年           月            日</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bl>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pStyle w:val="4"/>
        <w:keepNext w:val="0"/>
        <w:keepLines w:val="0"/>
        <w:pageBreakBefore/>
        <w:spacing w:line="415" w:lineRule="auto"/>
        <w:jc w:val="left"/>
        <w:rPr>
          <w:rStyle w:val="23"/>
          <w:rFonts w:ascii="宋体" w:hAnsi="宋体" w:eastAsia="宋体" w:cs="宋体"/>
          <w:b/>
          <w:bCs w:val="0"/>
          <w:color w:val="000000" w:themeColor="text1"/>
          <w:spacing w:val="12"/>
          <w:sz w:val="21"/>
          <w:szCs w:val="22"/>
          <w14:textFill>
            <w14:solidFill>
              <w14:schemeClr w14:val="tx1"/>
            </w14:solidFill>
          </w14:textFill>
        </w:rPr>
      </w:pPr>
      <w:bookmarkStart w:id="159" w:name="_Toc22492"/>
      <w:r>
        <w:rPr>
          <w:rStyle w:val="23"/>
          <w:rFonts w:hint="eastAsia" w:ascii="宋体" w:hAnsi="宋体" w:eastAsia="宋体" w:cs="宋体"/>
          <w:b/>
          <w:bCs w:val="0"/>
          <w:color w:val="000000" w:themeColor="text1"/>
          <w:spacing w:val="12"/>
          <w:sz w:val="21"/>
          <w14:textFill>
            <w14:solidFill>
              <w14:schemeClr w14:val="tx1"/>
            </w14:solidFill>
          </w14:textFill>
        </w:rPr>
        <w:t>附件2-10</w:t>
      </w:r>
      <w:r>
        <w:rPr>
          <w:rStyle w:val="23"/>
          <w:rFonts w:hint="eastAsia" w:ascii="宋体" w:hAnsi="宋体" w:eastAsia="宋体" w:cs="宋体"/>
          <w:b/>
          <w:bCs w:val="0"/>
          <w:color w:val="000000" w:themeColor="text1"/>
          <w:spacing w:val="12"/>
          <w:sz w:val="21"/>
          <w:szCs w:val="22"/>
          <w14:textFill>
            <w14:solidFill>
              <w14:schemeClr w14:val="tx1"/>
            </w14:solidFill>
          </w14:textFill>
        </w:rPr>
        <w:t>实质性响应一览表（如有）</w:t>
      </w:r>
      <w:bookmarkEnd w:id="159"/>
    </w:p>
    <w:p>
      <w:pPr>
        <w:spacing w:before="312" w:beforeLines="100" w:after="312" w:afterLines="10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pacing w:val="20"/>
          <w:sz w:val="28"/>
          <w:szCs w:val="28"/>
          <w14:textFill>
            <w14:solidFill>
              <w14:schemeClr w14:val="tx1"/>
            </w14:solidFill>
          </w14:textFill>
        </w:rPr>
        <w:t>实质性响应一览表</w:t>
      </w:r>
    </w:p>
    <w:tbl>
      <w:tblPr>
        <w:tblStyle w:val="20"/>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3190"/>
        <w:gridCol w:w="1843"/>
        <w:gridCol w:w="1843"/>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8528" w:type="dxa"/>
            <w:gridSpan w:val="5"/>
            <w:shd w:val="clear" w:color="auto" w:fill="auto"/>
            <w:vAlign w:val="center"/>
          </w:tcPr>
          <w:p>
            <w:pPr>
              <w:spacing w:line="360" w:lineRule="auto"/>
              <w:rPr>
                <w:rFonts w:ascii="宋体" w:hAnsi="宋体" w:eastAsia="宋体" w:cs="宋体"/>
                <w:b/>
                <w:color w:val="000000" w:themeColor="text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项目名称：</w:t>
            </w:r>
            <w:r>
              <w:rPr>
                <w:rFonts w:hint="eastAsia" w:ascii="宋体" w:hAnsi="宋体" w:eastAsia="宋体" w:cs="宋体"/>
                <w:b/>
                <w:color w:val="000000" w:themeColor="text1"/>
                <w:szCs w:val="21"/>
                <w14:textFill>
                  <w14:solidFill>
                    <w14:schemeClr w14:val="tx1"/>
                  </w14:solidFill>
                </w14:textFill>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jc w:val="center"/>
        </w:trPr>
        <w:tc>
          <w:tcPr>
            <w:tcW w:w="462" w:type="dxa"/>
            <w:shd w:val="clear" w:color="auto" w:fill="auto"/>
            <w:vAlign w:val="center"/>
          </w:tcPr>
          <w:p>
            <w:pPr>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序号</w:t>
            </w:r>
          </w:p>
        </w:tc>
        <w:tc>
          <w:tcPr>
            <w:tcW w:w="3190" w:type="dxa"/>
            <w:shd w:val="clear" w:color="auto" w:fill="auto"/>
            <w:vAlign w:val="center"/>
          </w:tcPr>
          <w:p>
            <w:pPr>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用户需求实质性条款要求</w:t>
            </w:r>
          </w:p>
        </w:tc>
        <w:tc>
          <w:tcPr>
            <w:tcW w:w="1843" w:type="dxa"/>
            <w:shd w:val="clear" w:color="auto" w:fill="auto"/>
            <w:vAlign w:val="center"/>
          </w:tcPr>
          <w:p>
            <w:pPr>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投标人响应内容</w:t>
            </w:r>
          </w:p>
        </w:tc>
        <w:tc>
          <w:tcPr>
            <w:tcW w:w="1843" w:type="dxa"/>
            <w:shd w:val="clear" w:color="auto" w:fill="auto"/>
            <w:vAlign w:val="center"/>
          </w:tcPr>
          <w:p>
            <w:pPr>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偏离情况及说明</w:t>
            </w:r>
          </w:p>
          <w:p>
            <w:pPr>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(正偏离/无偏离/负偏离)</w:t>
            </w:r>
          </w:p>
        </w:tc>
        <w:tc>
          <w:tcPr>
            <w:tcW w:w="1190" w:type="dxa"/>
            <w:shd w:val="clear" w:color="auto" w:fill="auto"/>
            <w:vAlign w:val="center"/>
          </w:tcPr>
          <w:p>
            <w:pPr>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查阅/证明文件索引页码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462" w:type="dxa"/>
            <w:shd w:val="clear" w:color="auto" w:fill="auto"/>
            <w:vAlign w:val="center"/>
          </w:tcPr>
          <w:p>
            <w:pPr>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3190" w:type="dxa"/>
            <w:shd w:val="clear" w:color="auto" w:fill="auto"/>
          </w:tcPr>
          <w:p>
            <w:pPr>
              <w:spacing w:line="360" w:lineRule="auto"/>
              <w:rPr>
                <w:rFonts w:ascii="宋体" w:hAnsi="宋体" w:eastAsia="宋体" w:cs="宋体"/>
                <w:color w:val="000000" w:themeColor="text1"/>
                <w14:textFill>
                  <w14:solidFill>
                    <w14:schemeClr w14:val="tx1"/>
                  </w14:solidFill>
                </w14:textFill>
              </w:rPr>
            </w:pPr>
          </w:p>
        </w:tc>
        <w:tc>
          <w:tcPr>
            <w:tcW w:w="1843" w:type="dxa"/>
            <w:shd w:val="clear" w:color="auto" w:fill="auto"/>
          </w:tcPr>
          <w:p>
            <w:pPr>
              <w:spacing w:line="360" w:lineRule="auto"/>
              <w:rPr>
                <w:rFonts w:ascii="宋体" w:hAnsi="宋体" w:eastAsia="宋体" w:cs="宋体"/>
                <w:color w:val="000000" w:themeColor="text1"/>
                <w14:textFill>
                  <w14:solidFill>
                    <w14:schemeClr w14:val="tx1"/>
                  </w14:solidFill>
                </w14:textFill>
              </w:rPr>
            </w:pPr>
          </w:p>
        </w:tc>
        <w:tc>
          <w:tcPr>
            <w:tcW w:w="1843" w:type="dxa"/>
            <w:shd w:val="clear" w:color="auto" w:fill="auto"/>
          </w:tcPr>
          <w:p>
            <w:pPr>
              <w:spacing w:line="360" w:lineRule="auto"/>
              <w:rPr>
                <w:rFonts w:ascii="宋体" w:hAnsi="宋体" w:eastAsia="宋体" w:cs="宋体"/>
                <w:color w:val="000000" w:themeColor="text1"/>
                <w14:textFill>
                  <w14:solidFill>
                    <w14:schemeClr w14:val="tx1"/>
                  </w14:solidFill>
                </w14:textFill>
              </w:rPr>
            </w:pPr>
          </w:p>
        </w:tc>
        <w:tc>
          <w:tcPr>
            <w:tcW w:w="1190" w:type="dxa"/>
            <w:shd w:val="clear" w:color="auto" w:fill="auto"/>
          </w:tcPr>
          <w:p>
            <w:pPr>
              <w:spacing w:line="360" w:lineRule="auto"/>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462" w:type="dxa"/>
            <w:shd w:val="clear" w:color="auto" w:fill="auto"/>
            <w:vAlign w:val="center"/>
          </w:tcPr>
          <w:p>
            <w:pPr>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p>
        </w:tc>
        <w:tc>
          <w:tcPr>
            <w:tcW w:w="3190" w:type="dxa"/>
            <w:shd w:val="clear" w:color="auto" w:fill="auto"/>
          </w:tcPr>
          <w:p>
            <w:pPr>
              <w:spacing w:line="360" w:lineRule="auto"/>
              <w:rPr>
                <w:rFonts w:ascii="宋体" w:hAnsi="宋体" w:eastAsia="宋体" w:cs="宋体"/>
                <w:color w:val="000000" w:themeColor="text1"/>
                <w14:textFill>
                  <w14:solidFill>
                    <w14:schemeClr w14:val="tx1"/>
                  </w14:solidFill>
                </w14:textFill>
              </w:rPr>
            </w:pPr>
          </w:p>
        </w:tc>
        <w:tc>
          <w:tcPr>
            <w:tcW w:w="1843" w:type="dxa"/>
            <w:shd w:val="clear" w:color="auto" w:fill="auto"/>
          </w:tcPr>
          <w:p>
            <w:pPr>
              <w:spacing w:line="360" w:lineRule="auto"/>
              <w:rPr>
                <w:rFonts w:ascii="宋体" w:hAnsi="宋体" w:eastAsia="宋体" w:cs="宋体"/>
                <w:color w:val="000000" w:themeColor="text1"/>
                <w14:textFill>
                  <w14:solidFill>
                    <w14:schemeClr w14:val="tx1"/>
                  </w14:solidFill>
                </w14:textFill>
              </w:rPr>
            </w:pPr>
          </w:p>
        </w:tc>
        <w:tc>
          <w:tcPr>
            <w:tcW w:w="1843" w:type="dxa"/>
            <w:shd w:val="clear" w:color="auto" w:fill="auto"/>
          </w:tcPr>
          <w:p>
            <w:pPr>
              <w:spacing w:line="360" w:lineRule="auto"/>
              <w:rPr>
                <w:rFonts w:ascii="宋体" w:hAnsi="宋体" w:eastAsia="宋体" w:cs="宋体"/>
                <w:color w:val="000000" w:themeColor="text1"/>
                <w14:textFill>
                  <w14:solidFill>
                    <w14:schemeClr w14:val="tx1"/>
                  </w14:solidFill>
                </w14:textFill>
              </w:rPr>
            </w:pPr>
          </w:p>
        </w:tc>
        <w:tc>
          <w:tcPr>
            <w:tcW w:w="1190" w:type="dxa"/>
            <w:shd w:val="clear" w:color="auto" w:fill="auto"/>
          </w:tcPr>
          <w:p>
            <w:pPr>
              <w:spacing w:line="360" w:lineRule="auto"/>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462" w:type="dxa"/>
            <w:shd w:val="clear" w:color="auto" w:fill="auto"/>
            <w:vAlign w:val="center"/>
          </w:tcPr>
          <w:p>
            <w:pPr>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p>
        </w:tc>
        <w:tc>
          <w:tcPr>
            <w:tcW w:w="3190" w:type="dxa"/>
            <w:shd w:val="clear" w:color="auto" w:fill="auto"/>
          </w:tcPr>
          <w:p>
            <w:pPr>
              <w:spacing w:line="360" w:lineRule="auto"/>
              <w:rPr>
                <w:rFonts w:ascii="宋体" w:hAnsi="宋体" w:eastAsia="宋体" w:cs="宋体"/>
                <w:color w:val="000000" w:themeColor="text1"/>
                <w14:textFill>
                  <w14:solidFill>
                    <w14:schemeClr w14:val="tx1"/>
                  </w14:solidFill>
                </w14:textFill>
              </w:rPr>
            </w:pPr>
          </w:p>
        </w:tc>
        <w:tc>
          <w:tcPr>
            <w:tcW w:w="1843" w:type="dxa"/>
            <w:shd w:val="clear" w:color="auto" w:fill="auto"/>
          </w:tcPr>
          <w:p>
            <w:pPr>
              <w:spacing w:line="360" w:lineRule="auto"/>
              <w:rPr>
                <w:rFonts w:ascii="宋体" w:hAnsi="宋体" w:eastAsia="宋体" w:cs="宋体"/>
                <w:color w:val="000000" w:themeColor="text1"/>
                <w14:textFill>
                  <w14:solidFill>
                    <w14:schemeClr w14:val="tx1"/>
                  </w14:solidFill>
                </w14:textFill>
              </w:rPr>
            </w:pPr>
          </w:p>
        </w:tc>
        <w:tc>
          <w:tcPr>
            <w:tcW w:w="1843" w:type="dxa"/>
            <w:shd w:val="clear" w:color="auto" w:fill="auto"/>
          </w:tcPr>
          <w:p>
            <w:pPr>
              <w:spacing w:line="360" w:lineRule="auto"/>
              <w:rPr>
                <w:rFonts w:ascii="宋体" w:hAnsi="宋体" w:eastAsia="宋体" w:cs="宋体"/>
                <w:color w:val="000000" w:themeColor="text1"/>
                <w14:textFill>
                  <w14:solidFill>
                    <w14:schemeClr w14:val="tx1"/>
                  </w14:solidFill>
                </w14:textFill>
              </w:rPr>
            </w:pPr>
          </w:p>
        </w:tc>
        <w:tc>
          <w:tcPr>
            <w:tcW w:w="1190" w:type="dxa"/>
            <w:shd w:val="clear" w:color="auto" w:fill="auto"/>
          </w:tcPr>
          <w:p>
            <w:pPr>
              <w:spacing w:line="360" w:lineRule="auto"/>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462" w:type="dxa"/>
            <w:shd w:val="clear" w:color="auto" w:fill="auto"/>
            <w:vAlign w:val="center"/>
          </w:tcPr>
          <w:p>
            <w:pPr>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p>
        </w:tc>
        <w:tc>
          <w:tcPr>
            <w:tcW w:w="3190" w:type="dxa"/>
            <w:shd w:val="clear" w:color="auto" w:fill="auto"/>
          </w:tcPr>
          <w:p>
            <w:pPr>
              <w:spacing w:line="360" w:lineRule="auto"/>
              <w:rPr>
                <w:rFonts w:ascii="宋体" w:hAnsi="宋体" w:eastAsia="宋体" w:cs="宋体"/>
                <w:color w:val="000000" w:themeColor="text1"/>
                <w14:textFill>
                  <w14:solidFill>
                    <w14:schemeClr w14:val="tx1"/>
                  </w14:solidFill>
                </w14:textFill>
              </w:rPr>
            </w:pPr>
          </w:p>
        </w:tc>
        <w:tc>
          <w:tcPr>
            <w:tcW w:w="1843" w:type="dxa"/>
            <w:shd w:val="clear" w:color="auto" w:fill="auto"/>
          </w:tcPr>
          <w:p>
            <w:pPr>
              <w:spacing w:line="360" w:lineRule="auto"/>
              <w:rPr>
                <w:rFonts w:ascii="宋体" w:hAnsi="宋体" w:eastAsia="宋体" w:cs="宋体"/>
                <w:color w:val="000000" w:themeColor="text1"/>
                <w14:textFill>
                  <w14:solidFill>
                    <w14:schemeClr w14:val="tx1"/>
                  </w14:solidFill>
                </w14:textFill>
              </w:rPr>
            </w:pPr>
          </w:p>
        </w:tc>
        <w:tc>
          <w:tcPr>
            <w:tcW w:w="1843" w:type="dxa"/>
            <w:shd w:val="clear" w:color="auto" w:fill="auto"/>
          </w:tcPr>
          <w:p>
            <w:pPr>
              <w:spacing w:line="360" w:lineRule="auto"/>
              <w:rPr>
                <w:rFonts w:ascii="宋体" w:hAnsi="宋体" w:eastAsia="宋体" w:cs="宋体"/>
                <w:color w:val="000000" w:themeColor="text1"/>
                <w14:textFill>
                  <w14:solidFill>
                    <w14:schemeClr w14:val="tx1"/>
                  </w14:solidFill>
                </w14:textFill>
              </w:rPr>
            </w:pPr>
          </w:p>
        </w:tc>
        <w:tc>
          <w:tcPr>
            <w:tcW w:w="1190" w:type="dxa"/>
            <w:shd w:val="clear" w:color="auto" w:fill="auto"/>
          </w:tcPr>
          <w:p>
            <w:pPr>
              <w:spacing w:line="360" w:lineRule="auto"/>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462" w:type="dxa"/>
            <w:shd w:val="clear" w:color="auto" w:fill="auto"/>
            <w:vAlign w:val="center"/>
          </w:tcPr>
          <w:p>
            <w:pPr>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3190" w:type="dxa"/>
            <w:shd w:val="clear" w:color="auto" w:fill="auto"/>
          </w:tcPr>
          <w:p>
            <w:pPr>
              <w:spacing w:line="360" w:lineRule="auto"/>
              <w:rPr>
                <w:rFonts w:ascii="宋体" w:hAnsi="宋体" w:eastAsia="宋体" w:cs="宋体"/>
                <w:color w:val="000000" w:themeColor="text1"/>
                <w14:textFill>
                  <w14:solidFill>
                    <w14:schemeClr w14:val="tx1"/>
                  </w14:solidFill>
                </w14:textFill>
              </w:rPr>
            </w:pPr>
          </w:p>
        </w:tc>
        <w:tc>
          <w:tcPr>
            <w:tcW w:w="1843" w:type="dxa"/>
            <w:shd w:val="clear" w:color="auto" w:fill="auto"/>
          </w:tcPr>
          <w:p>
            <w:pPr>
              <w:spacing w:line="360" w:lineRule="auto"/>
              <w:rPr>
                <w:rFonts w:ascii="宋体" w:hAnsi="宋体" w:eastAsia="宋体" w:cs="宋体"/>
                <w:color w:val="000000" w:themeColor="text1"/>
                <w14:textFill>
                  <w14:solidFill>
                    <w14:schemeClr w14:val="tx1"/>
                  </w14:solidFill>
                </w14:textFill>
              </w:rPr>
            </w:pPr>
          </w:p>
        </w:tc>
        <w:tc>
          <w:tcPr>
            <w:tcW w:w="1843" w:type="dxa"/>
            <w:shd w:val="clear" w:color="auto" w:fill="auto"/>
          </w:tcPr>
          <w:p>
            <w:pPr>
              <w:spacing w:line="360" w:lineRule="auto"/>
              <w:rPr>
                <w:rFonts w:ascii="宋体" w:hAnsi="宋体" w:eastAsia="宋体" w:cs="宋体"/>
                <w:color w:val="000000" w:themeColor="text1"/>
                <w14:textFill>
                  <w14:solidFill>
                    <w14:schemeClr w14:val="tx1"/>
                  </w14:solidFill>
                </w14:textFill>
              </w:rPr>
            </w:pPr>
          </w:p>
        </w:tc>
        <w:tc>
          <w:tcPr>
            <w:tcW w:w="1190" w:type="dxa"/>
            <w:shd w:val="clear" w:color="auto" w:fill="auto"/>
          </w:tcPr>
          <w:p>
            <w:pPr>
              <w:spacing w:line="360" w:lineRule="auto"/>
              <w:rPr>
                <w:rFonts w:ascii="宋体" w:hAnsi="宋体" w:eastAsia="宋体" w:cs="宋体"/>
                <w:color w:val="000000" w:themeColor="text1"/>
                <w14:textFill>
                  <w14:solidFill>
                    <w14:schemeClr w14:val="tx1"/>
                  </w14:solidFill>
                </w14:textFill>
              </w:rPr>
            </w:pPr>
          </w:p>
        </w:tc>
      </w:tr>
    </w:tbl>
    <w:p>
      <w:pPr>
        <w:spacing w:before="156" w:beforeLines="5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注明：</w:t>
      </w:r>
    </w:p>
    <w:p>
      <w:pPr>
        <w:pStyle w:val="29"/>
        <w:numPr>
          <w:ilvl w:val="0"/>
          <w:numId w:val="57"/>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投标人必须对应招标文件“用户需求”中的实质性条款(即“★”号条款)逐条应答并按要求填写表格。如没有的则不用填写此表。</w:t>
      </w:r>
    </w:p>
    <w:p>
      <w:pPr>
        <w:pStyle w:val="29"/>
        <w:numPr>
          <w:ilvl w:val="0"/>
          <w:numId w:val="57"/>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若招标文件“用户需求”中的实质性条款中规定须提交相关证明文件的，须按要求提供，并作为附件附于本表格后。未按要求提供或未提供完整的，视为负偏离处理。</w:t>
      </w: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tbl>
      <w:tblPr>
        <w:tblStyle w:val="21"/>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53"/>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overflowPunct w:val="0"/>
              <w:adjustRightIn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投标人名称（加盖公章）：</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年           月            日</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bl>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pStyle w:val="4"/>
        <w:keepNext w:val="0"/>
        <w:keepLines w:val="0"/>
        <w:pageBreakBefore/>
        <w:spacing w:line="415" w:lineRule="auto"/>
        <w:jc w:val="left"/>
        <w:rPr>
          <w:rStyle w:val="23"/>
          <w:rFonts w:ascii="宋体" w:hAnsi="宋体" w:eastAsia="宋体" w:cs="宋体"/>
          <w:b/>
          <w:bCs w:val="0"/>
          <w:color w:val="000000" w:themeColor="text1"/>
          <w:spacing w:val="12"/>
          <w:sz w:val="21"/>
          <w:szCs w:val="22"/>
          <w14:textFill>
            <w14:solidFill>
              <w14:schemeClr w14:val="tx1"/>
            </w14:solidFill>
          </w14:textFill>
        </w:rPr>
      </w:pPr>
      <w:bookmarkStart w:id="160" w:name="_Toc11644"/>
      <w:r>
        <w:rPr>
          <w:rStyle w:val="23"/>
          <w:rFonts w:hint="eastAsia" w:ascii="宋体" w:hAnsi="宋体" w:eastAsia="宋体" w:cs="宋体"/>
          <w:b/>
          <w:bCs w:val="0"/>
          <w:color w:val="000000" w:themeColor="text1"/>
          <w:spacing w:val="12"/>
          <w:sz w:val="21"/>
          <w:szCs w:val="22"/>
          <w14:textFill>
            <w14:solidFill>
              <w14:schemeClr w14:val="tx1"/>
            </w14:solidFill>
          </w14:textFill>
        </w:rPr>
        <w:t>附件2-11重点条款明细响应表（如有）</w:t>
      </w:r>
      <w:bookmarkEnd w:id="160"/>
    </w:p>
    <w:p>
      <w:pPr>
        <w:spacing w:before="312" w:beforeLines="100" w:after="312" w:afterLines="100"/>
        <w:jc w:val="center"/>
        <w:rPr>
          <w:rFonts w:ascii="宋体" w:hAnsi="宋体" w:eastAsia="宋体" w:cs="宋体"/>
          <w:b/>
          <w:color w:val="000000" w:themeColor="text1"/>
          <w:spacing w:val="20"/>
          <w:sz w:val="28"/>
          <w:szCs w:val="28"/>
          <w14:textFill>
            <w14:solidFill>
              <w14:schemeClr w14:val="tx1"/>
            </w14:solidFill>
          </w14:textFill>
        </w:rPr>
      </w:pPr>
      <w:r>
        <w:rPr>
          <w:rFonts w:hint="eastAsia" w:ascii="宋体" w:hAnsi="宋体" w:eastAsia="宋体" w:cs="宋体"/>
          <w:b/>
          <w:color w:val="000000" w:themeColor="text1"/>
          <w:spacing w:val="20"/>
          <w:sz w:val="28"/>
          <w:szCs w:val="28"/>
          <w14:textFill>
            <w14:solidFill>
              <w14:schemeClr w14:val="tx1"/>
            </w14:solidFill>
          </w14:textFill>
        </w:rPr>
        <w:t>重点条款明细响应表</w:t>
      </w:r>
    </w:p>
    <w:tbl>
      <w:tblPr>
        <w:tblStyle w:val="20"/>
        <w:tblW w:w="86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2410"/>
        <w:gridCol w:w="2745"/>
        <w:gridCol w:w="1932"/>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6" w:hRule="atLeast"/>
          <w:jc w:val="center"/>
        </w:trPr>
        <w:tc>
          <w:tcPr>
            <w:tcW w:w="459"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序号</w:t>
            </w:r>
          </w:p>
        </w:tc>
        <w:tc>
          <w:tcPr>
            <w:tcW w:w="2410"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重点条款要求</w:t>
            </w:r>
          </w:p>
        </w:tc>
        <w:tc>
          <w:tcPr>
            <w:tcW w:w="2745" w:type="dxa"/>
            <w:vAlign w:val="center"/>
          </w:tcPr>
          <w:p>
            <w:pPr>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投标人响应内容</w:t>
            </w:r>
          </w:p>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(投标人应按投标时响应的实际情况填写)</w:t>
            </w:r>
          </w:p>
        </w:tc>
        <w:tc>
          <w:tcPr>
            <w:tcW w:w="1932" w:type="dxa"/>
            <w:vAlign w:val="center"/>
          </w:tcPr>
          <w:p>
            <w:pPr>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响应情况及说明(正偏离/无偏离/负偏离)</w:t>
            </w:r>
          </w:p>
        </w:tc>
        <w:tc>
          <w:tcPr>
            <w:tcW w:w="1115" w:type="dxa"/>
            <w:vAlign w:val="center"/>
          </w:tcPr>
          <w:p>
            <w:pPr>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查阅/证明文件索引页码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459"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2410" w:type="dxa"/>
            <w:vAlign w:val="center"/>
          </w:tcPr>
          <w:p>
            <w:pPr>
              <w:jc w:val="center"/>
              <w:rPr>
                <w:rFonts w:ascii="宋体" w:hAnsi="宋体" w:eastAsia="宋体" w:cs="宋体"/>
                <w:color w:val="000000" w:themeColor="text1"/>
                <w:szCs w:val="21"/>
                <w14:textFill>
                  <w14:solidFill>
                    <w14:schemeClr w14:val="tx1"/>
                  </w14:solidFill>
                </w14:textFill>
              </w:rPr>
            </w:pPr>
          </w:p>
        </w:tc>
        <w:tc>
          <w:tcPr>
            <w:tcW w:w="2745" w:type="dxa"/>
            <w:vAlign w:val="center"/>
          </w:tcPr>
          <w:p>
            <w:pPr>
              <w:jc w:val="center"/>
              <w:rPr>
                <w:rFonts w:ascii="宋体" w:hAnsi="宋体" w:eastAsia="宋体" w:cs="宋体"/>
                <w:color w:val="000000" w:themeColor="text1"/>
                <w:szCs w:val="21"/>
                <w14:textFill>
                  <w14:solidFill>
                    <w14:schemeClr w14:val="tx1"/>
                  </w14:solidFill>
                </w14:textFill>
              </w:rPr>
            </w:pPr>
          </w:p>
        </w:tc>
        <w:tc>
          <w:tcPr>
            <w:tcW w:w="1932" w:type="dxa"/>
            <w:vAlign w:val="center"/>
          </w:tcPr>
          <w:p>
            <w:pPr>
              <w:jc w:val="center"/>
              <w:rPr>
                <w:rFonts w:ascii="宋体" w:hAnsi="宋体" w:eastAsia="宋体" w:cs="宋体"/>
                <w:color w:val="000000" w:themeColor="text1"/>
                <w:szCs w:val="21"/>
                <w14:textFill>
                  <w14:solidFill>
                    <w14:schemeClr w14:val="tx1"/>
                  </w14:solidFill>
                </w14:textFill>
              </w:rPr>
            </w:pPr>
          </w:p>
        </w:tc>
        <w:tc>
          <w:tcPr>
            <w:tcW w:w="1115" w:type="dxa"/>
            <w:vAlign w:val="center"/>
          </w:tcPr>
          <w:p>
            <w:pPr>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459"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2410" w:type="dxa"/>
            <w:vAlign w:val="center"/>
          </w:tcPr>
          <w:p>
            <w:pPr>
              <w:jc w:val="center"/>
              <w:rPr>
                <w:rFonts w:ascii="宋体" w:hAnsi="宋体" w:eastAsia="宋体" w:cs="宋体"/>
                <w:color w:val="000000" w:themeColor="text1"/>
                <w:szCs w:val="21"/>
                <w14:textFill>
                  <w14:solidFill>
                    <w14:schemeClr w14:val="tx1"/>
                  </w14:solidFill>
                </w14:textFill>
              </w:rPr>
            </w:pPr>
          </w:p>
        </w:tc>
        <w:tc>
          <w:tcPr>
            <w:tcW w:w="2745" w:type="dxa"/>
            <w:vAlign w:val="center"/>
          </w:tcPr>
          <w:p>
            <w:pPr>
              <w:jc w:val="center"/>
              <w:rPr>
                <w:rFonts w:ascii="宋体" w:hAnsi="宋体" w:eastAsia="宋体" w:cs="宋体"/>
                <w:color w:val="000000" w:themeColor="text1"/>
                <w:szCs w:val="21"/>
                <w14:textFill>
                  <w14:solidFill>
                    <w14:schemeClr w14:val="tx1"/>
                  </w14:solidFill>
                </w14:textFill>
              </w:rPr>
            </w:pPr>
          </w:p>
        </w:tc>
        <w:tc>
          <w:tcPr>
            <w:tcW w:w="1932" w:type="dxa"/>
            <w:vAlign w:val="center"/>
          </w:tcPr>
          <w:p>
            <w:pPr>
              <w:jc w:val="center"/>
              <w:rPr>
                <w:rFonts w:ascii="宋体" w:hAnsi="宋体" w:eastAsia="宋体" w:cs="宋体"/>
                <w:color w:val="000000" w:themeColor="text1"/>
                <w:szCs w:val="21"/>
                <w14:textFill>
                  <w14:solidFill>
                    <w14:schemeClr w14:val="tx1"/>
                  </w14:solidFill>
                </w14:textFill>
              </w:rPr>
            </w:pPr>
          </w:p>
        </w:tc>
        <w:tc>
          <w:tcPr>
            <w:tcW w:w="1115" w:type="dxa"/>
            <w:vAlign w:val="center"/>
          </w:tcPr>
          <w:p>
            <w:pPr>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459"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p>
        </w:tc>
        <w:tc>
          <w:tcPr>
            <w:tcW w:w="2410" w:type="dxa"/>
            <w:vAlign w:val="center"/>
          </w:tcPr>
          <w:p>
            <w:pPr>
              <w:jc w:val="center"/>
              <w:rPr>
                <w:rFonts w:ascii="宋体" w:hAnsi="宋体" w:eastAsia="宋体" w:cs="宋体"/>
                <w:color w:val="000000" w:themeColor="text1"/>
                <w:szCs w:val="21"/>
                <w14:textFill>
                  <w14:solidFill>
                    <w14:schemeClr w14:val="tx1"/>
                  </w14:solidFill>
                </w14:textFill>
              </w:rPr>
            </w:pPr>
          </w:p>
        </w:tc>
        <w:tc>
          <w:tcPr>
            <w:tcW w:w="2745" w:type="dxa"/>
            <w:vAlign w:val="center"/>
          </w:tcPr>
          <w:p>
            <w:pPr>
              <w:jc w:val="center"/>
              <w:rPr>
                <w:rFonts w:ascii="宋体" w:hAnsi="宋体" w:eastAsia="宋体" w:cs="宋体"/>
                <w:color w:val="000000" w:themeColor="text1"/>
                <w:szCs w:val="21"/>
                <w14:textFill>
                  <w14:solidFill>
                    <w14:schemeClr w14:val="tx1"/>
                  </w14:solidFill>
                </w14:textFill>
              </w:rPr>
            </w:pPr>
          </w:p>
        </w:tc>
        <w:tc>
          <w:tcPr>
            <w:tcW w:w="1932" w:type="dxa"/>
            <w:vAlign w:val="center"/>
          </w:tcPr>
          <w:p>
            <w:pPr>
              <w:jc w:val="center"/>
              <w:rPr>
                <w:rFonts w:ascii="宋体" w:hAnsi="宋体" w:eastAsia="宋体" w:cs="宋体"/>
                <w:color w:val="000000" w:themeColor="text1"/>
                <w:szCs w:val="21"/>
                <w14:textFill>
                  <w14:solidFill>
                    <w14:schemeClr w14:val="tx1"/>
                  </w14:solidFill>
                </w14:textFill>
              </w:rPr>
            </w:pPr>
          </w:p>
        </w:tc>
        <w:tc>
          <w:tcPr>
            <w:tcW w:w="1115" w:type="dxa"/>
            <w:vAlign w:val="center"/>
          </w:tcPr>
          <w:p>
            <w:pPr>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459"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p>
        </w:tc>
        <w:tc>
          <w:tcPr>
            <w:tcW w:w="2410" w:type="dxa"/>
            <w:vAlign w:val="center"/>
          </w:tcPr>
          <w:p>
            <w:pPr>
              <w:jc w:val="center"/>
              <w:rPr>
                <w:rFonts w:ascii="宋体" w:hAnsi="宋体" w:eastAsia="宋体" w:cs="宋体"/>
                <w:color w:val="000000" w:themeColor="text1"/>
                <w:szCs w:val="21"/>
                <w14:textFill>
                  <w14:solidFill>
                    <w14:schemeClr w14:val="tx1"/>
                  </w14:solidFill>
                </w14:textFill>
              </w:rPr>
            </w:pPr>
          </w:p>
        </w:tc>
        <w:tc>
          <w:tcPr>
            <w:tcW w:w="2745" w:type="dxa"/>
            <w:vAlign w:val="center"/>
          </w:tcPr>
          <w:p>
            <w:pPr>
              <w:jc w:val="center"/>
              <w:rPr>
                <w:rFonts w:ascii="宋体" w:hAnsi="宋体" w:eastAsia="宋体" w:cs="宋体"/>
                <w:color w:val="000000" w:themeColor="text1"/>
                <w:szCs w:val="21"/>
                <w14:textFill>
                  <w14:solidFill>
                    <w14:schemeClr w14:val="tx1"/>
                  </w14:solidFill>
                </w14:textFill>
              </w:rPr>
            </w:pPr>
          </w:p>
        </w:tc>
        <w:tc>
          <w:tcPr>
            <w:tcW w:w="1932" w:type="dxa"/>
            <w:vAlign w:val="center"/>
          </w:tcPr>
          <w:p>
            <w:pPr>
              <w:jc w:val="center"/>
              <w:rPr>
                <w:rFonts w:ascii="宋体" w:hAnsi="宋体" w:eastAsia="宋体" w:cs="宋体"/>
                <w:color w:val="000000" w:themeColor="text1"/>
                <w:szCs w:val="21"/>
                <w14:textFill>
                  <w14:solidFill>
                    <w14:schemeClr w14:val="tx1"/>
                  </w14:solidFill>
                </w14:textFill>
              </w:rPr>
            </w:pPr>
          </w:p>
        </w:tc>
        <w:tc>
          <w:tcPr>
            <w:tcW w:w="1115" w:type="dxa"/>
            <w:vAlign w:val="center"/>
          </w:tcPr>
          <w:p>
            <w:pPr>
              <w:jc w:val="center"/>
              <w:rPr>
                <w:rFonts w:ascii="宋体" w:hAnsi="宋体" w:eastAsia="宋体" w:cs="宋体"/>
                <w:color w:val="000000" w:themeColor="text1"/>
                <w:szCs w:val="21"/>
                <w14:textFill>
                  <w14:solidFill>
                    <w14:schemeClr w14:val="tx1"/>
                  </w14:solidFill>
                </w14:textFill>
              </w:rPr>
            </w:pPr>
          </w:p>
        </w:tc>
      </w:tr>
    </w:tbl>
    <w:p>
      <w:pPr>
        <w:spacing w:before="156" w:beforeLines="5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注明：</w:t>
      </w:r>
    </w:p>
    <w:p>
      <w:pPr>
        <w:pStyle w:val="29"/>
        <w:numPr>
          <w:ilvl w:val="0"/>
          <w:numId w:val="58"/>
        </w:numPr>
        <w:spacing w:line="360" w:lineRule="auto"/>
        <w:ind w:firstLineChars="0"/>
        <w:rPr>
          <w:rFonts w:ascii="宋体" w:hAnsi="宋体" w:eastAsia="宋体" w:cs="宋体"/>
          <w:color w:val="000000" w:themeColor="text1"/>
          <w:spacing w:val="4"/>
          <w14:textFill>
            <w14:solidFill>
              <w14:schemeClr w14:val="tx1"/>
            </w14:solidFill>
          </w14:textFill>
        </w:rPr>
      </w:pPr>
      <w:r>
        <w:rPr>
          <w:rFonts w:hint="eastAsia" w:ascii="宋体" w:hAnsi="宋体" w:eastAsia="宋体" w:cs="宋体"/>
          <w:color w:val="000000" w:themeColor="text1"/>
          <w:spacing w:val="4"/>
          <w14:textFill>
            <w14:solidFill>
              <w14:schemeClr w14:val="tx1"/>
            </w14:solidFill>
          </w14:textFill>
        </w:rPr>
        <w:t>投标人必须对应招标文件</w:t>
      </w:r>
      <w:r>
        <w:rPr>
          <w:rFonts w:hint="eastAsia" w:ascii="宋体" w:hAnsi="宋体" w:eastAsia="宋体" w:cs="宋体"/>
          <w:bCs/>
          <w:color w:val="000000" w:themeColor="text1"/>
          <w:spacing w:val="4"/>
          <w:szCs w:val="21"/>
          <w14:textFill>
            <w14:solidFill>
              <w14:schemeClr w14:val="tx1"/>
            </w14:solidFill>
          </w14:textFill>
        </w:rPr>
        <w:t>“用户需求”要求的重点</w:t>
      </w:r>
      <w:r>
        <w:rPr>
          <w:rFonts w:hint="eastAsia" w:ascii="宋体" w:hAnsi="宋体" w:eastAsia="宋体" w:cs="宋体"/>
          <w:color w:val="000000" w:themeColor="text1"/>
          <w:spacing w:val="4"/>
          <w14:textFill>
            <w14:solidFill>
              <w14:schemeClr w14:val="tx1"/>
            </w14:solidFill>
          </w14:textFill>
        </w:rPr>
        <w:t>条款</w:t>
      </w:r>
      <w:r>
        <w:rPr>
          <w:rFonts w:hint="eastAsia" w:ascii="宋体" w:hAnsi="宋体" w:eastAsia="宋体" w:cs="宋体"/>
          <w:color w:val="000000" w:themeColor="text1"/>
          <w14:textFill>
            <w14:solidFill>
              <w14:schemeClr w14:val="tx1"/>
            </w14:solidFill>
          </w14:textFill>
        </w:rPr>
        <w:t>(即“▲”号条款)</w:t>
      </w:r>
      <w:r>
        <w:rPr>
          <w:rFonts w:hint="eastAsia" w:ascii="宋体" w:hAnsi="宋体" w:eastAsia="宋体" w:cs="宋体"/>
          <w:color w:val="000000" w:themeColor="text1"/>
          <w:spacing w:val="4"/>
          <w14:textFill>
            <w14:solidFill>
              <w14:schemeClr w14:val="tx1"/>
            </w14:solidFill>
          </w14:textFill>
        </w:rPr>
        <w:t>逐条应答并按要求填写表格。</w:t>
      </w:r>
      <w:r>
        <w:rPr>
          <w:rFonts w:hint="eastAsia" w:ascii="宋体" w:hAnsi="宋体" w:eastAsia="宋体" w:cs="宋体"/>
          <w:color w:val="000000" w:themeColor="text1"/>
          <w14:textFill>
            <w14:solidFill>
              <w14:schemeClr w14:val="tx1"/>
            </w14:solidFill>
          </w14:textFill>
        </w:rPr>
        <w:t>如没有的则不用填写此表。</w:t>
      </w:r>
    </w:p>
    <w:p>
      <w:pPr>
        <w:pStyle w:val="29"/>
        <w:numPr>
          <w:ilvl w:val="0"/>
          <w:numId w:val="58"/>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需提供证明资料内容详见</w:t>
      </w:r>
      <w:r>
        <w:rPr>
          <w:rFonts w:hint="eastAsia" w:ascii="宋体" w:hAnsi="宋体" w:eastAsia="宋体" w:cs="宋体"/>
          <w:color w:val="000000" w:themeColor="text1"/>
          <w:szCs w:val="21"/>
          <w:u w:val="single"/>
          <w14:textFill>
            <w14:solidFill>
              <w14:schemeClr w14:val="tx1"/>
            </w14:solidFill>
          </w14:textFill>
        </w:rPr>
        <w:t>（招标文件第四部分 评标方法、步骤、标准之附表三详细评审表相对应条款）</w:t>
      </w:r>
      <w:r>
        <w:rPr>
          <w:rFonts w:hint="eastAsia" w:ascii="宋体" w:hAnsi="宋体" w:eastAsia="宋体" w:cs="宋体"/>
          <w:color w:val="000000" w:themeColor="text1"/>
          <w:szCs w:val="21"/>
          <w14:textFill>
            <w14:solidFill>
              <w14:schemeClr w14:val="tx1"/>
            </w14:solidFill>
          </w14:textFill>
        </w:rPr>
        <w:t>，提供的证明资料</w:t>
      </w:r>
      <w:r>
        <w:rPr>
          <w:rFonts w:hint="eastAsia" w:ascii="宋体" w:hAnsi="宋体" w:eastAsia="宋体" w:cs="宋体"/>
          <w:color w:val="000000" w:themeColor="text1"/>
          <w14:textFill>
            <w14:solidFill>
              <w14:schemeClr w14:val="tx1"/>
            </w14:solidFill>
          </w14:textFill>
        </w:rPr>
        <w:t>作为附件附于表格后。未按要求提供或未提供完整的，视为负偏离处理。</w:t>
      </w: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tbl>
      <w:tblPr>
        <w:tblStyle w:val="21"/>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53"/>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overflowPunct w:val="0"/>
              <w:adjustRightIn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投标人名称（加盖公章）：</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年           月            日</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bl>
    <w:p>
      <w:pPr>
        <w:spacing w:line="360" w:lineRule="auto"/>
        <w:rPr>
          <w:rFonts w:ascii="宋体" w:hAnsi="宋体" w:eastAsia="宋体" w:cs="宋体"/>
          <w:color w:val="000000" w:themeColor="text1"/>
          <w:szCs w:val="21"/>
          <w14:textFill>
            <w14:solidFill>
              <w14:schemeClr w14:val="tx1"/>
            </w14:solidFill>
          </w14:textFill>
        </w:rPr>
      </w:pPr>
    </w:p>
    <w:p>
      <w:pPr>
        <w:spacing w:before="312" w:beforeLines="100" w:after="312" w:afterLines="100"/>
        <w:jc w:val="center"/>
        <w:rPr>
          <w:rFonts w:ascii="宋体" w:hAnsi="宋体" w:eastAsia="宋体" w:cs="宋体"/>
          <w:b/>
          <w:color w:val="000000" w:themeColor="text1"/>
          <w:spacing w:val="20"/>
          <w:sz w:val="28"/>
          <w:szCs w:val="28"/>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pStyle w:val="4"/>
        <w:keepNext w:val="0"/>
        <w:keepLines w:val="0"/>
        <w:pageBreakBefore/>
        <w:spacing w:line="415" w:lineRule="auto"/>
        <w:jc w:val="left"/>
        <w:rPr>
          <w:rStyle w:val="23"/>
          <w:rFonts w:ascii="宋体" w:hAnsi="宋体" w:eastAsia="宋体" w:cs="宋体"/>
          <w:b/>
          <w:bCs w:val="0"/>
          <w:color w:val="000000" w:themeColor="text1"/>
          <w:spacing w:val="12"/>
          <w:sz w:val="21"/>
          <w14:textFill>
            <w14:solidFill>
              <w14:schemeClr w14:val="tx1"/>
            </w14:solidFill>
          </w14:textFill>
        </w:rPr>
      </w:pPr>
      <w:bookmarkStart w:id="161" w:name="_Toc405313972"/>
      <w:bookmarkStart w:id="162" w:name="_Toc1366"/>
      <w:bookmarkStart w:id="163" w:name="_Toc391627768"/>
      <w:r>
        <w:rPr>
          <w:rStyle w:val="23"/>
          <w:rFonts w:hint="eastAsia" w:ascii="宋体" w:hAnsi="宋体" w:eastAsia="宋体" w:cs="宋体"/>
          <w:b/>
          <w:bCs w:val="0"/>
          <w:color w:val="000000" w:themeColor="text1"/>
          <w:spacing w:val="12"/>
          <w:sz w:val="21"/>
          <w14:textFill>
            <w14:solidFill>
              <w14:schemeClr w14:val="tx1"/>
            </w14:solidFill>
          </w14:textFill>
        </w:rPr>
        <w:t>附件2-12技术参数差异表</w:t>
      </w:r>
      <w:bookmarkEnd w:id="161"/>
      <w:bookmarkEnd w:id="162"/>
      <w:bookmarkEnd w:id="163"/>
    </w:p>
    <w:p>
      <w:pPr>
        <w:spacing w:before="624" w:beforeLines="200" w:after="312" w:afterLines="100" w:line="360" w:lineRule="auto"/>
        <w:jc w:val="center"/>
        <w:rPr>
          <w:rFonts w:ascii="宋体" w:hAnsi="宋体" w:eastAsia="宋体" w:cs="宋体"/>
          <w:b/>
          <w:color w:val="000000" w:themeColor="text1"/>
          <w:spacing w:val="20"/>
          <w:sz w:val="28"/>
          <w:szCs w:val="28"/>
          <w14:textFill>
            <w14:solidFill>
              <w14:schemeClr w14:val="tx1"/>
            </w14:solidFill>
          </w14:textFill>
        </w:rPr>
      </w:pPr>
      <w:r>
        <w:rPr>
          <w:rFonts w:hint="eastAsia" w:ascii="宋体" w:hAnsi="宋体" w:eastAsia="宋体" w:cs="宋体"/>
          <w:b/>
          <w:color w:val="000000" w:themeColor="text1"/>
          <w:spacing w:val="20"/>
          <w:sz w:val="28"/>
          <w:szCs w:val="28"/>
          <w14:textFill>
            <w14:solidFill>
              <w14:schemeClr w14:val="tx1"/>
            </w14:solidFill>
          </w14:textFill>
        </w:rPr>
        <w:t>技术参数差异表</w:t>
      </w:r>
    </w:p>
    <w:tbl>
      <w:tblPr>
        <w:tblStyle w:val="20"/>
        <w:tblW w:w="8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352"/>
        <w:gridCol w:w="2126"/>
        <w:gridCol w:w="1644"/>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8617" w:type="dxa"/>
            <w:gridSpan w:val="5"/>
            <w:vAlign w:val="center"/>
          </w:tcPr>
          <w:p>
            <w:pPr>
              <w:jc w:val="left"/>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 xml:space="preserve">项目名称：                              </w:t>
            </w:r>
            <w:r>
              <w:rPr>
                <w:rFonts w:hint="eastAsia" w:ascii="宋体" w:hAnsi="宋体" w:eastAsia="宋体" w:cs="宋体"/>
                <w:b/>
                <w:color w:val="000000" w:themeColor="text1"/>
                <w:szCs w:val="21"/>
                <w14:textFill>
                  <w14:solidFill>
                    <w14:schemeClr w14:val="tx1"/>
                  </w14:solidFill>
                </w14:textFill>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920" w:type="dxa"/>
            <w:vAlign w:val="center"/>
          </w:tcPr>
          <w:p>
            <w:pPr>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序号</w:t>
            </w:r>
          </w:p>
        </w:tc>
        <w:tc>
          <w:tcPr>
            <w:tcW w:w="2352" w:type="dxa"/>
            <w:vAlign w:val="center"/>
          </w:tcPr>
          <w:p>
            <w:pPr>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招标文件要求</w:t>
            </w:r>
          </w:p>
        </w:tc>
        <w:tc>
          <w:tcPr>
            <w:tcW w:w="2126" w:type="dxa"/>
            <w:vAlign w:val="center"/>
          </w:tcPr>
          <w:p>
            <w:pPr>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投标文件响应内容</w:t>
            </w:r>
          </w:p>
        </w:tc>
        <w:tc>
          <w:tcPr>
            <w:tcW w:w="1644" w:type="dxa"/>
            <w:vAlign w:val="center"/>
          </w:tcPr>
          <w:p>
            <w:pPr>
              <w:ind w:left="293" w:hanging="293" w:hangingChars="139"/>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偏离情况</w:t>
            </w:r>
          </w:p>
        </w:tc>
        <w:tc>
          <w:tcPr>
            <w:tcW w:w="1575" w:type="dxa"/>
            <w:vAlign w:val="center"/>
          </w:tcPr>
          <w:p>
            <w:pPr>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920"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352"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126"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644"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575"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920"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352"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126"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644"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575"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20"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352"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126"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644"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575"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920"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352"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126"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644"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575"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20"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352"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126"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644"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575"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r>
    </w:tbl>
    <w:p>
      <w:pPr>
        <w:spacing w:before="156" w:beforeLines="50"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注明：</w:t>
      </w:r>
    </w:p>
    <w:p>
      <w:pPr>
        <w:pStyle w:val="29"/>
        <w:numPr>
          <w:ilvl w:val="0"/>
          <w:numId w:val="59"/>
        </w:numPr>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偏离情况项填写“正”、“负”或“无”，说明项中填写原因。</w:t>
      </w:r>
    </w:p>
    <w:p>
      <w:pPr>
        <w:pStyle w:val="29"/>
        <w:numPr>
          <w:ilvl w:val="0"/>
          <w:numId w:val="59"/>
        </w:numPr>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投标人应按照招标文件要求，根据“用户需求书”技术内容作出全面响应。对响应有偏离的，则说明偏离的内容。“用户需求书”技术内容中若有要求提供相关证明资料的，须按要求提供，否则视为负偏离。</w:t>
      </w: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tbl>
      <w:tblPr>
        <w:tblStyle w:val="21"/>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53"/>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overflowPunct w:val="0"/>
              <w:adjustRightIn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投标人名称（加盖公章）：</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年           月            日</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bl>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pStyle w:val="4"/>
        <w:keepNext w:val="0"/>
        <w:keepLines w:val="0"/>
        <w:pageBreakBefore/>
        <w:spacing w:line="415" w:lineRule="auto"/>
        <w:jc w:val="left"/>
        <w:rPr>
          <w:rStyle w:val="23"/>
          <w:rFonts w:ascii="宋体" w:hAnsi="宋体" w:eastAsia="宋体" w:cs="宋体"/>
          <w:b/>
          <w:bCs w:val="0"/>
          <w:color w:val="000000" w:themeColor="text1"/>
          <w:spacing w:val="12"/>
          <w:sz w:val="21"/>
          <w14:textFill>
            <w14:solidFill>
              <w14:schemeClr w14:val="tx1"/>
            </w14:solidFill>
          </w14:textFill>
        </w:rPr>
      </w:pPr>
      <w:bookmarkStart w:id="164" w:name="_Toc26121"/>
      <w:bookmarkStart w:id="165" w:name="_Toc405313974"/>
      <w:bookmarkStart w:id="166" w:name="_Toc391627770"/>
      <w:r>
        <w:rPr>
          <w:rStyle w:val="23"/>
          <w:rFonts w:hint="eastAsia" w:ascii="宋体" w:hAnsi="宋体" w:eastAsia="宋体" w:cs="宋体"/>
          <w:b/>
          <w:bCs w:val="0"/>
          <w:color w:val="000000" w:themeColor="text1"/>
          <w:spacing w:val="12"/>
          <w:sz w:val="21"/>
          <w14:textFill>
            <w14:solidFill>
              <w14:schemeClr w14:val="tx1"/>
            </w14:solidFill>
          </w14:textFill>
        </w:rPr>
        <w:t>附件2-13项目服务人员配置情况表</w:t>
      </w:r>
      <w:bookmarkEnd w:id="164"/>
      <w:bookmarkEnd w:id="165"/>
      <w:bookmarkEnd w:id="166"/>
    </w:p>
    <w:p>
      <w:pPr>
        <w:spacing w:before="624" w:beforeLines="200" w:after="312" w:afterLines="100" w:line="360" w:lineRule="auto"/>
        <w:jc w:val="center"/>
        <w:rPr>
          <w:rFonts w:ascii="宋体" w:hAnsi="宋体" w:eastAsia="宋体" w:cs="宋体"/>
          <w:b/>
          <w:color w:val="000000" w:themeColor="text1"/>
          <w:spacing w:val="20"/>
          <w:sz w:val="28"/>
          <w:szCs w:val="28"/>
          <w14:textFill>
            <w14:solidFill>
              <w14:schemeClr w14:val="tx1"/>
            </w14:solidFill>
          </w14:textFill>
        </w:rPr>
      </w:pPr>
      <w:r>
        <w:rPr>
          <w:rFonts w:hint="eastAsia" w:ascii="宋体" w:hAnsi="宋体" w:eastAsia="宋体" w:cs="宋体"/>
          <w:b/>
          <w:color w:val="000000" w:themeColor="text1"/>
          <w:spacing w:val="20"/>
          <w:sz w:val="28"/>
          <w:szCs w:val="28"/>
          <w14:textFill>
            <w14:solidFill>
              <w14:schemeClr w14:val="tx1"/>
            </w14:solidFill>
          </w14:textFill>
        </w:rPr>
        <w:t>项目服务人员配置情况表</w:t>
      </w:r>
    </w:p>
    <w:tbl>
      <w:tblPr>
        <w:tblStyle w:val="20"/>
        <w:tblpPr w:leftFromText="180" w:rightFromText="180" w:vertAnchor="text" w:tblpXSpec="center" w:tblpY="1"/>
        <w:tblOverlap w:val="never"/>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14"/>
        <w:gridCol w:w="1260"/>
        <w:gridCol w:w="1844"/>
        <w:gridCol w:w="1416"/>
        <w:gridCol w:w="993"/>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8528" w:type="dxa"/>
            <w:gridSpan w:val="7"/>
            <w:vAlign w:val="center"/>
          </w:tcPr>
          <w:p>
            <w:pPr>
              <w:jc w:val="left"/>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 xml:space="preserve">项目名称：                                     </w:t>
            </w:r>
            <w:r>
              <w:rPr>
                <w:rFonts w:hint="eastAsia" w:ascii="宋体" w:hAnsi="宋体" w:eastAsia="宋体" w:cs="宋体"/>
                <w:b/>
                <w:color w:val="000000" w:themeColor="text1"/>
                <w:szCs w:val="21"/>
                <w14:textFill>
                  <w14:solidFill>
                    <w14:schemeClr w14:val="tx1"/>
                  </w14:solidFill>
                </w14:textFill>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709"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序号</w:t>
            </w:r>
          </w:p>
        </w:tc>
        <w:tc>
          <w:tcPr>
            <w:tcW w:w="1114"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姓名</w:t>
            </w:r>
          </w:p>
        </w:tc>
        <w:tc>
          <w:tcPr>
            <w:tcW w:w="1260"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职位</w:t>
            </w:r>
          </w:p>
        </w:tc>
        <w:tc>
          <w:tcPr>
            <w:tcW w:w="1844"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持何种资格证件</w:t>
            </w:r>
          </w:p>
        </w:tc>
        <w:tc>
          <w:tcPr>
            <w:tcW w:w="1416"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发证时间</w:t>
            </w:r>
          </w:p>
        </w:tc>
        <w:tc>
          <w:tcPr>
            <w:tcW w:w="993"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学历</w:t>
            </w:r>
          </w:p>
        </w:tc>
        <w:tc>
          <w:tcPr>
            <w:tcW w:w="1192"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经验年限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09"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114"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260"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844"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416" w:type="dxa"/>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993"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192" w:type="dxa"/>
          </w:tcPr>
          <w:p>
            <w:pPr>
              <w:spacing w:line="480" w:lineRule="auto"/>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09"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114"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260"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844"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416" w:type="dxa"/>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993"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192" w:type="dxa"/>
          </w:tcPr>
          <w:p>
            <w:pPr>
              <w:spacing w:line="480" w:lineRule="auto"/>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09"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114"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260"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844"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416" w:type="dxa"/>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993"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192" w:type="dxa"/>
          </w:tcPr>
          <w:p>
            <w:pPr>
              <w:spacing w:line="480" w:lineRule="auto"/>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09"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114"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260"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844"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416" w:type="dxa"/>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993"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192" w:type="dxa"/>
          </w:tcPr>
          <w:p>
            <w:pPr>
              <w:spacing w:line="480" w:lineRule="auto"/>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09"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114"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260"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844" w:type="dxa"/>
            <w:vAlign w:val="center"/>
          </w:tcPr>
          <w:p>
            <w:pPr>
              <w:widowControl/>
              <w:tabs>
                <w:tab w:val="right" w:leader="dot" w:pos="8302"/>
              </w:tabs>
              <w:spacing w:line="480" w:lineRule="auto"/>
              <w:jc w:val="center"/>
              <w:rPr>
                <w:rFonts w:ascii="宋体" w:hAnsi="宋体" w:eastAsia="宋体" w:cs="宋体"/>
                <w:color w:val="000000" w:themeColor="text1"/>
                <w:kern w:val="0"/>
                <w:szCs w:val="21"/>
                <w14:textFill>
                  <w14:solidFill>
                    <w14:schemeClr w14:val="tx1"/>
                  </w14:solidFill>
                </w14:textFill>
              </w:rPr>
            </w:pPr>
          </w:p>
        </w:tc>
        <w:tc>
          <w:tcPr>
            <w:tcW w:w="1416" w:type="dxa"/>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993"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192" w:type="dxa"/>
          </w:tcPr>
          <w:p>
            <w:pPr>
              <w:spacing w:line="480" w:lineRule="auto"/>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09"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114"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260"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844"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416" w:type="dxa"/>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993"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192" w:type="dxa"/>
          </w:tcPr>
          <w:p>
            <w:pPr>
              <w:spacing w:line="480" w:lineRule="auto"/>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09"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114"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260"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844"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416" w:type="dxa"/>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993"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192" w:type="dxa"/>
          </w:tcPr>
          <w:p>
            <w:pPr>
              <w:spacing w:line="480" w:lineRule="auto"/>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09"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114"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260"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844"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416" w:type="dxa"/>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993" w:type="dxa"/>
            <w:vAlign w:val="center"/>
          </w:tcPr>
          <w:p>
            <w:pPr>
              <w:spacing w:line="480" w:lineRule="auto"/>
              <w:jc w:val="center"/>
              <w:rPr>
                <w:rFonts w:ascii="宋体" w:hAnsi="宋体" w:eastAsia="宋体" w:cs="宋体"/>
                <w:color w:val="000000" w:themeColor="text1"/>
                <w:szCs w:val="21"/>
                <w14:textFill>
                  <w14:solidFill>
                    <w14:schemeClr w14:val="tx1"/>
                  </w14:solidFill>
                </w14:textFill>
              </w:rPr>
            </w:pPr>
          </w:p>
        </w:tc>
        <w:tc>
          <w:tcPr>
            <w:tcW w:w="1192" w:type="dxa"/>
          </w:tcPr>
          <w:p>
            <w:pPr>
              <w:spacing w:line="480" w:lineRule="auto"/>
              <w:jc w:val="center"/>
              <w:rPr>
                <w:rFonts w:ascii="宋体" w:hAnsi="宋体" w:eastAsia="宋体" w:cs="宋体"/>
                <w:color w:val="000000" w:themeColor="text1"/>
                <w:szCs w:val="21"/>
                <w14:textFill>
                  <w14:solidFill>
                    <w14:schemeClr w14:val="tx1"/>
                  </w14:solidFill>
                </w14:textFill>
              </w:rPr>
            </w:pPr>
          </w:p>
        </w:tc>
      </w:tr>
    </w:tbl>
    <w:p>
      <w:pPr>
        <w:pStyle w:val="2"/>
        <w:overflowPunct w:val="0"/>
        <w:spacing w:before="156" w:beforeLines="50" w:after="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注明：需提供证明资料内容详见</w:t>
      </w:r>
      <w:r>
        <w:rPr>
          <w:rFonts w:hint="eastAsia" w:ascii="宋体" w:hAnsi="宋体" w:cs="宋体"/>
          <w:color w:val="000000" w:themeColor="text1"/>
          <w:szCs w:val="21"/>
          <w:u w:val="single"/>
          <w14:textFill>
            <w14:solidFill>
              <w14:schemeClr w14:val="tx1"/>
            </w14:solidFill>
          </w14:textFill>
        </w:rPr>
        <w:t xml:space="preserve">（招标文件第四部分 评标方法、步骤、标准之附表三详细评审表相对应条款） </w:t>
      </w:r>
      <w:r>
        <w:rPr>
          <w:rFonts w:hint="eastAsia" w:ascii="宋体" w:hAnsi="宋体" w:cs="宋体"/>
          <w:color w:val="000000" w:themeColor="text1"/>
          <w:szCs w:val="21"/>
          <w14:textFill>
            <w14:solidFill>
              <w14:schemeClr w14:val="tx1"/>
            </w14:solidFill>
          </w14:textFill>
        </w:rPr>
        <w:t>。</w:t>
      </w:r>
    </w:p>
    <w:p>
      <w:pPr>
        <w:spacing w:line="360" w:lineRule="auto"/>
        <w:rPr>
          <w:rFonts w:ascii="宋体" w:hAnsi="宋体" w:eastAsia="宋体" w:cs="宋体"/>
          <w:color w:val="000000" w:themeColor="text1"/>
          <w14:textFill>
            <w14:solidFill>
              <w14:schemeClr w14:val="tx1"/>
            </w14:solidFill>
          </w14:textFill>
        </w:rPr>
      </w:pPr>
    </w:p>
    <w:p>
      <w:pPr>
        <w:spacing w:line="360" w:lineRule="auto"/>
        <w:rPr>
          <w:rFonts w:ascii="宋体" w:hAnsi="宋体" w:eastAsia="宋体" w:cs="宋体"/>
          <w:color w:val="000000" w:themeColor="text1"/>
          <w14:textFill>
            <w14:solidFill>
              <w14:schemeClr w14:val="tx1"/>
            </w14:solidFill>
          </w14:textFill>
        </w:rPr>
      </w:pPr>
    </w:p>
    <w:tbl>
      <w:tblPr>
        <w:tblStyle w:val="21"/>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53"/>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overflowPunct w:val="0"/>
              <w:adjustRightIn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投标人名称（加盖公章）：</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年           月            日</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bl>
    <w:p>
      <w:pPr>
        <w:pStyle w:val="4"/>
        <w:keepNext w:val="0"/>
        <w:keepLines w:val="0"/>
        <w:pageBreakBefore/>
        <w:spacing w:line="415" w:lineRule="auto"/>
        <w:jc w:val="left"/>
        <w:rPr>
          <w:rStyle w:val="23"/>
          <w:rFonts w:ascii="宋体" w:hAnsi="宋体" w:eastAsia="宋体" w:cs="宋体"/>
          <w:b/>
          <w:bCs w:val="0"/>
          <w:color w:val="000000" w:themeColor="text1"/>
          <w:spacing w:val="12"/>
          <w:sz w:val="21"/>
          <w14:textFill>
            <w14:solidFill>
              <w14:schemeClr w14:val="tx1"/>
            </w14:solidFill>
          </w14:textFill>
        </w:rPr>
      </w:pPr>
      <w:bookmarkStart w:id="167" w:name="_Toc391627771"/>
      <w:bookmarkStart w:id="168" w:name="_Toc405313975"/>
      <w:bookmarkStart w:id="169" w:name="_Toc29657"/>
      <w:r>
        <w:rPr>
          <w:rStyle w:val="23"/>
          <w:rFonts w:hint="eastAsia" w:ascii="宋体" w:hAnsi="宋体" w:eastAsia="宋体" w:cs="宋体"/>
          <w:b/>
          <w:bCs w:val="0"/>
          <w:color w:val="000000" w:themeColor="text1"/>
          <w:spacing w:val="12"/>
          <w:sz w:val="21"/>
          <w14:textFill>
            <w14:solidFill>
              <w14:schemeClr w14:val="tx1"/>
            </w14:solidFill>
          </w14:textFill>
        </w:rPr>
        <w:t>附件2-14拟担任本项目主要负责人简历表</w:t>
      </w:r>
      <w:bookmarkEnd w:id="167"/>
      <w:bookmarkEnd w:id="168"/>
      <w:bookmarkEnd w:id="169"/>
    </w:p>
    <w:p>
      <w:pPr>
        <w:spacing w:before="624" w:beforeLines="200" w:after="312" w:afterLines="10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pacing w:val="20"/>
          <w:sz w:val="28"/>
          <w:szCs w:val="28"/>
          <w14:textFill>
            <w14:solidFill>
              <w14:schemeClr w14:val="tx1"/>
            </w14:solidFill>
          </w14:textFill>
        </w:rPr>
        <w:t>拟担任本项目主要负责人简历表</w:t>
      </w:r>
    </w:p>
    <w:tbl>
      <w:tblPr>
        <w:tblStyle w:val="20"/>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27"/>
        <w:gridCol w:w="1324"/>
        <w:gridCol w:w="317"/>
        <w:gridCol w:w="179"/>
        <w:gridCol w:w="819"/>
        <w:gridCol w:w="529"/>
        <w:gridCol w:w="14"/>
        <w:gridCol w:w="1098"/>
        <w:gridCol w:w="423"/>
        <w:gridCol w:w="629"/>
        <w:gridCol w:w="397"/>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14"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姓名</w:t>
            </w:r>
          </w:p>
        </w:tc>
        <w:tc>
          <w:tcPr>
            <w:tcW w:w="2547" w:type="dxa"/>
            <w:gridSpan w:val="4"/>
            <w:vAlign w:val="center"/>
          </w:tcPr>
          <w:p>
            <w:pPr>
              <w:jc w:val="center"/>
              <w:rPr>
                <w:rFonts w:ascii="宋体" w:hAnsi="宋体" w:eastAsia="宋体" w:cs="宋体"/>
                <w:color w:val="000000" w:themeColor="text1"/>
                <w:szCs w:val="21"/>
                <w14:textFill>
                  <w14:solidFill>
                    <w14:schemeClr w14:val="tx1"/>
                  </w14:solidFill>
                </w14:textFill>
              </w:rPr>
            </w:pPr>
          </w:p>
        </w:tc>
        <w:tc>
          <w:tcPr>
            <w:tcW w:w="819"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性别</w:t>
            </w:r>
          </w:p>
        </w:tc>
        <w:tc>
          <w:tcPr>
            <w:tcW w:w="1641" w:type="dxa"/>
            <w:gridSpan w:val="3"/>
            <w:vAlign w:val="center"/>
          </w:tcPr>
          <w:p>
            <w:pPr>
              <w:jc w:val="center"/>
              <w:rPr>
                <w:rFonts w:ascii="宋体" w:hAnsi="宋体" w:eastAsia="宋体" w:cs="宋体"/>
                <w:color w:val="000000" w:themeColor="text1"/>
                <w:szCs w:val="21"/>
                <w14:textFill>
                  <w14:solidFill>
                    <w14:schemeClr w14:val="tx1"/>
                  </w14:solidFill>
                </w14:textFill>
              </w:rPr>
            </w:pPr>
          </w:p>
        </w:tc>
        <w:tc>
          <w:tcPr>
            <w:tcW w:w="1052" w:type="dxa"/>
            <w:gridSpan w:val="2"/>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年龄</w:t>
            </w:r>
          </w:p>
        </w:tc>
        <w:tc>
          <w:tcPr>
            <w:tcW w:w="1755" w:type="dxa"/>
            <w:gridSpan w:val="2"/>
            <w:vAlign w:val="center"/>
          </w:tcPr>
          <w:p>
            <w:pPr>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14"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职务</w:t>
            </w:r>
          </w:p>
        </w:tc>
        <w:tc>
          <w:tcPr>
            <w:tcW w:w="2547" w:type="dxa"/>
            <w:gridSpan w:val="4"/>
            <w:vAlign w:val="center"/>
          </w:tcPr>
          <w:p>
            <w:pPr>
              <w:jc w:val="center"/>
              <w:rPr>
                <w:rFonts w:ascii="宋体" w:hAnsi="宋体" w:eastAsia="宋体" w:cs="宋体"/>
                <w:color w:val="000000" w:themeColor="text1"/>
                <w:szCs w:val="21"/>
                <w14:textFill>
                  <w14:solidFill>
                    <w14:schemeClr w14:val="tx1"/>
                  </w14:solidFill>
                </w14:textFill>
              </w:rPr>
            </w:pPr>
          </w:p>
        </w:tc>
        <w:tc>
          <w:tcPr>
            <w:tcW w:w="819"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职称</w:t>
            </w:r>
          </w:p>
        </w:tc>
        <w:tc>
          <w:tcPr>
            <w:tcW w:w="1641" w:type="dxa"/>
            <w:gridSpan w:val="3"/>
            <w:vAlign w:val="center"/>
          </w:tcPr>
          <w:p>
            <w:pPr>
              <w:jc w:val="center"/>
              <w:rPr>
                <w:rFonts w:ascii="宋体" w:hAnsi="宋体" w:eastAsia="宋体" w:cs="宋体"/>
                <w:color w:val="000000" w:themeColor="text1"/>
                <w:szCs w:val="21"/>
                <w14:textFill>
                  <w14:solidFill>
                    <w14:schemeClr w14:val="tx1"/>
                  </w14:solidFill>
                </w14:textFill>
              </w:rPr>
            </w:pPr>
          </w:p>
        </w:tc>
        <w:tc>
          <w:tcPr>
            <w:tcW w:w="1052" w:type="dxa"/>
            <w:gridSpan w:val="2"/>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学历</w:t>
            </w:r>
          </w:p>
        </w:tc>
        <w:tc>
          <w:tcPr>
            <w:tcW w:w="1755" w:type="dxa"/>
            <w:gridSpan w:val="2"/>
            <w:vAlign w:val="center"/>
          </w:tcPr>
          <w:p>
            <w:pPr>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765" w:type="dxa"/>
            <w:gridSpan w:val="3"/>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参加工作时间</w:t>
            </w:r>
          </w:p>
        </w:tc>
        <w:tc>
          <w:tcPr>
            <w:tcW w:w="1844" w:type="dxa"/>
            <w:gridSpan w:val="4"/>
            <w:vAlign w:val="center"/>
          </w:tcPr>
          <w:p>
            <w:pPr>
              <w:jc w:val="center"/>
              <w:rPr>
                <w:rFonts w:ascii="宋体" w:hAnsi="宋体" w:eastAsia="宋体" w:cs="宋体"/>
                <w:color w:val="000000" w:themeColor="text1"/>
                <w:szCs w:val="21"/>
                <w14:textFill>
                  <w14:solidFill>
                    <w14:schemeClr w14:val="tx1"/>
                  </w14:solidFill>
                </w14:textFill>
              </w:rPr>
            </w:pPr>
          </w:p>
        </w:tc>
        <w:tc>
          <w:tcPr>
            <w:tcW w:w="2561" w:type="dxa"/>
            <w:gridSpan w:val="5"/>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相关经验年限</w:t>
            </w:r>
          </w:p>
        </w:tc>
        <w:tc>
          <w:tcPr>
            <w:tcW w:w="1358" w:type="dxa"/>
            <w:vAlign w:val="center"/>
          </w:tcPr>
          <w:p>
            <w:pPr>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jc w:val="center"/>
        </w:trPr>
        <w:tc>
          <w:tcPr>
            <w:tcW w:w="2765" w:type="dxa"/>
            <w:gridSpan w:val="3"/>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资格证书名称、编号</w:t>
            </w:r>
          </w:p>
        </w:tc>
        <w:tc>
          <w:tcPr>
            <w:tcW w:w="5763" w:type="dxa"/>
            <w:gridSpan w:val="10"/>
            <w:vAlign w:val="center"/>
          </w:tcPr>
          <w:p>
            <w:pPr>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8528" w:type="dxa"/>
            <w:gridSpan w:val="13"/>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目前在任及以往服务项目情况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41" w:type="dxa"/>
            <w:gridSpan w:val="2"/>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采购人</w:t>
            </w:r>
          </w:p>
        </w:tc>
        <w:tc>
          <w:tcPr>
            <w:tcW w:w="1641" w:type="dxa"/>
            <w:gridSpan w:val="2"/>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项目名称</w:t>
            </w:r>
          </w:p>
        </w:tc>
        <w:tc>
          <w:tcPr>
            <w:tcW w:w="1541" w:type="dxa"/>
            <w:gridSpan w:val="4"/>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项目规模</w:t>
            </w:r>
          </w:p>
        </w:tc>
        <w:tc>
          <w:tcPr>
            <w:tcW w:w="1521" w:type="dxa"/>
            <w:gridSpan w:val="2"/>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所任职务</w:t>
            </w:r>
          </w:p>
        </w:tc>
        <w:tc>
          <w:tcPr>
            <w:tcW w:w="2384" w:type="dxa"/>
            <w:gridSpan w:val="3"/>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41" w:type="dxa"/>
            <w:gridSpan w:val="2"/>
            <w:vAlign w:val="center"/>
          </w:tcPr>
          <w:p>
            <w:pPr>
              <w:jc w:val="center"/>
              <w:rPr>
                <w:rFonts w:ascii="宋体" w:hAnsi="宋体" w:eastAsia="宋体" w:cs="宋体"/>
                <w:color w:val="000000" w:themeColor="text1"/>
                <w:szCs w:val="21"/>
                <w14:textFill>
                  <w14:solidFill>
                    <w14:schemeClr w14:val="tx1"/>
                  </w14:solidFill>
                </w14:textFill>
              </w:rPr>
            </w:pPr>
          </w:p>
        </w:tc>
        <w:tc>
          <w:tcPr>
            <w:tcW w:w="1641" w:type="dxa"/>
            <w:gridSpan w:val="2"/>
            <w:vAlign w:val="center"/>
          </w:tcPr>
          <w:p>
            <w:pPr>
              <w:jc w:val="center"/>
              <w:rPr>
                <w:rFonts w:ascii="宋体" w:hAnsi="宋体" w:eastAsia="宋体" w:cs="宋体"/>
                <w:color w:val="000000" w:themeColor="text1"/>
                <w:szCs w:val="21"/>
                <w14:textFill>
                  <w14:solidFill>
                    <w14:schemeClr w14:val="tx1"/>
                  </w14:solidFill>
                </w14:textFill>
              </w:rPr>
            </w:pPr>
          </w:p>
        </w:tc>
        <w:tc>
          <w:tcPr>
            <w:tcW w:w="1541" w:type="dxa"/>
            <w:gridSpan w:val="4"/>
            <w:vAlign w:val="center"/>
          </w:tcPr>
          <w:p>
            <w:pPr>
              <w:jc w:val="center"/>
              <w:rPr>
                <w:rFonts w:ascii="宋体" w:hAnsi="宋体" w:eastAsia="宋体" w:cs="宋体"/>
                <w:color w:val="000000" w:themeColor="text1"/>
                <w:szCs w:val="21"/>
                <w14:textFill>
                  <w14:solidFill>
                    <w14:schemeClr w14:val="tx1"/>
                  </w14:solidFill>
                </w14:textFill>
              </w:rPr>
            </w:pPr>
          </w:p>
        </w:tc>
        <w:tc>
          <w:tcPr>
            <w:tcW w:w="1521" w:type="dxa"/>
            <w:gridSpan w:val="2"/>
            <w:vAlign w:val="center"/>
          </w:tcPr>
          <w:p>
            <w:pPr>
              <w:jc w:val="center"/>
              <w:rPr>
                <w:rFonts w:ascii="宋体" w:hAnsi="宋体" w:eastAsia="宋体" w:cs="宋体"/>
                <w:color w:val="000000" w:themeColor="text1"/>
                <w:szCs w:val="21"/>
                <w14:textFill>
                  <w14:solidFill>
                    <w14:schemeClr w14:val="tx1"/>
                  </w14:solidFill>
                </w14:textFill>
              </w:rPr>
            </w:pPr>
          </w:p>
        </w:tc>
        <w:tc>
          <w:tcPr>
            <w:tcW w:w="2384" w:type="dxa"/>
            <w:gridSpan w:val="3"/>
            <w:vAlign w:val="center"/>
          </w:tcPr>
          <w:p>
            <w:pPr>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41" w:type="dxa"/>
            <w:gridSpan w:val="2"/>
            <w:vAlign w:val="center"/>
          </w:tcPr>
          <w:p>
            <w:pPr>
              <w:jc w:val="center"/>
              <w:rPr>
                <w:rFonts w:ascii="宋体" w:hAnsi="宋体" w:eastAsia="宋体" w:cs="宋体"/>
                <w:color w:val="000000" w:themeColor="text1"/>
                <w:szCs w:val="21"/>
                <w14:textFill>
                  <w14:solidFill>
                    <w14:schemeClr w14:val="tx1"/>
                  </w14:solidFill>
                </w14:textFill>
              </w:rPr>
            </w:pPr>
          </w:p>
        </w:tc>
        <w:tc>
          <w:tcPr>
            <w:tcW w:w="1641" w:type="dxa"/>
            <w:gridSpan w:val="2"/>
            <w:vAlign w:val="center"/>
          </w:tcPr>
          <w:p>
            <w:pPr>
              <w:jc w:val="center"/>
              <w:rPr>
                <w:rFonts w:ascii="宋体" w:hAnsi="宋体" w:eastAsia="宋体" w:cs="宋体"/>
                <w:color w:val="000000" w:themeColor="text1"/>
                <w:szCs w:val="21"/>
                <w14:textFill>
                  <w14:solidFill>
                    <w14:schemeClr w14:val="tx1"/>
                  </w14:solidFill>
                </w14:textFill>
              </w:rPr>
            </w:pPr>
          </w:p>
        </w:tc>
        <w:tc>
          <w:tcPr>
            <w:tcW w:w="1541" w:type="dxa"/>
            <w:gridSpan w:val="4"/>
            <w:vAlign w:val="center"/>
          </w:tcPr>
          <w:p>
            <w:pPr>
              <w:jc w:val="center"/>
              <w:rPr>
                <w:rFonts w:ascii="宋体" w:hAnsi="宋体" w:eastAsia="宋体" w:cs="宋体"/>
                <w:color w:val="000000" w:themeColor="text1"/>
                <w:szCs w:val="21"/>
                <w14:textFill>
                  <w14:solidFill>
                    <w14:schemeClr w14:val="tx1"/>
                  </w14:solidFill>
                </w14:textFill>
              </w:rPr>
            </w:pPr>
          </w:p>
        </w:tc>
        <w:tc>
          <w:tcPr>
            <w:tcW w:w="1521" w:type="dxa"/>
            <w:gridSpan w:val="2"/>
            <w:vAlign w:val="center"/>
          </w:tcPr>
          <w:p>
            <w:pPr>
              <w:jc w:val="center"/>
              <w:rPr>
                <w:rFonts w:ascii="宋体" w:hAnsi="宋体" w:eastAsia="宋体" w:cs="宋体"/>
                <w:color w:val="000000" w:themeColor="text1"/>
                <w:szCs w:val="21"/>
                <w14:textFill>
                  <w14:solidFill>
                    <w14:schemeClr w14:val="tx1"/>
                  </w14:solidFill>
                </w14:textFill>
              </w:rPr>
            </w:pPr>
          </w:p>
        </w:tc>
        <w:tc>
          <w:tcPr>
            <w:tcW w:w="2384" w:type="dxa"/>
            <w:gridSpan w:val="3"/>
            <w:vAlign w:val="center"/>
          </w:tcPr>
          <w:p>
            <w:pPr>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41" w:type="dxa"/>
            <w:gridSpan w:val="2"/>
            <w:vAlign w:val="center"/>
          </w:tcPr>
          <w:p>
            <w:pPr>
              <w:jc w:val="center"/>
              <w:rPr>
                <w:rFonts w:ascii="宋体" w:hAnsi="宋体" w:eastAsia="宋体" w:cs="宋体"/>
                <w:color w:val="000000" w:themeColor="text1"/>
                <w:szCs w:val="21"/>
                <w14:textFill>
                  <w14:solidFill>
                    <w14:schemeClr w14:val="tx1"/>
                  </w14:solidFill>
                </w14:textFill>
              </w:rPr>
            </w:pPr>
          </w:p>
        </w:tc>
        <w:tc>
          <w:tcPr>
            <w:tcW w:w="1641" w:type="dxa"/>
            <w:gridSpan w:val="2"/>
            <w:vAlign w:val="center"/>
          </w:tcPr>
          <w:p>
            <w:pPr>
              <w:jc w:val="center"/>
              <w:rPr>
                <w:rFonts w:ascii="宋体" w:hAnsi="宋体" w:eastAsia="宋体" w:cs="宋体"/>
                <w:color w:val="000000" w:themeColor="text1"/>
                <w:szCs w:val="21"/>
                <w14:textFill>
                  <w14:solidFill>
                    <w14:schemeClr w14:val="tx1"/>
                  </w14:solidFill>
                </w14:textFill>
              </w:rPr>
            </w:pPr>
          </w:p>
        </w:tc>
        <w:tc>
          <w:tcPr>
            <w:tcW w:w="1541" w:type="dxa"/>
            <w:gridSpan w:val="4"/>
            <w:vAlign w:val="center"/>
          </w:tcPr>
          <w:p>
            <w:pPr>
              <w:jc w:val="center"/>
              <w:rPr>
                <w:rFonts w:ascii="宋体" w:hAnsi="宋体" w:eastAsia="宋体" w:cs="宋体"/>
                <w:color w:val="000000" w:themeColor="text1"/>
                <w:szCs w:val="21"/>
                <w14:textFill>
                  <w14:solidFill>
                    <w14:schemeClr w14:val="tx1"/>
                  </w14:solidFill>
                </w14:textFill>
              </w:rPr>
            </w:pPr>
          </w:p>
        </w:tc>
        <w:tc>
          <w:tcPr>
            <w:tcW w:w="1521" w:type="dxa"/>
            <w:gridSpan w:val="2"/>
            <w:vAlign w:val="center"/>
          </w:tcPr>
          <w:p>
            <w:pPr>
              <w:jc w:val="center"/>
              <w:rPr>
                <w:rFonts w:ascii="宋体" w:hAnsi="宋体" w:eastAsia="宋体" w:cs="宋体"/>
                <w:color w:val="000000" w:themeColor="text1"/>
                <w:szCs w:val="21"/>
                <w14:textFill>
                  <w14:solidFill>
                    <w14:schemeClr w14:val="tx1"/>
                  </w14:solidFill>
                </w14:textFill>
              </w:rPr>
            </w:pPr>
          </w:p>
        </w:tc>
        <w:tc>
          <w:tcPr>
            <w:tcW w:w="2384" w:type="dxa"/>
            <w:gridSpan w:val="3"/>
            <w:vAlign w:val="center"/>
          </w:tcPr>
          <w:p>
            <w:pPr>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41" w:type="dxa"/>
            <w:gridSpan w:val="2"/>
            <w:vAlign w:val="center"/>
          </w:tcPr>
          <w:p>
            <w:pPr>
              <w:jc w:val="center"/>
              <w:rPr>
                <w:rFonts w:ascii="宋体" w:hAnsi="宋体" w:eastAsia="宋体" w:cs="宋体"/>
                <w:color w:val="000000" w:themeColor="text1"/>
                <w:szCs w:val="21"/>
                <w14:textFill>
                  <w14:solidFill>
                    <w14:schemeClr w14:val="tx1"/>
                  </w14:solidFill>
                </w14:textFill>
              </w:rPr>
            </w:pPr>
          </w:p>
        </w:tc>
        <w:tc>
          <w:tcPr>
            <w:tcW w:w="1641" w:type="dxa"/>
            <w:gridSpan w:val="2"/>
            <w:vAlign w:val="center"/>
          </w:tcPr>
          <w:p>
            <w:pPr>
              <w:jc w:val="center"/>
              <w:rPr>
                <w:rFonts w:ascii="宋体" w:hAnsi="宋体" w:eastAsia="宋体" w:cs="宋体"/>
                <w:color w:val="000000" w:themeColor="text1"/>
                <w:szCs w:val="21"/>
                <w14:textFill>
                  <w14:solidFill>
                    <w14:schemeClr w14:val="tx1"/>
                  </w14:solidFill>
                </w14:textFill>
              </w:rPr>
            </w:pPr>
          </w:p>
        </w:tc>
        <w:tc>
          <w:tcPr>
            <w:tcW w:w="1541" w:type="dxa"/>
            <w:gridSpan w:val="4"/>
            <w:vAlign w:val="center"/>
          </w:tcPr>
          <w:p>
            <w:pPr>
              <w:jc w:val="center"/>
              <w:rPr>
                <w:rFonts w:ascii="宋体" w:hAnsi="宋体" w:eastAsia="宋体" w:cs="宋体"/>
                <w:color w:val="000000" w:themeColor="text1"/>
                <w:szCs w:val="21"/>
                <w14:textFill>
                  <w14:solidFill>
                    <w14:schemeClr w14:val="tx1"/>
                  </w14:solidFill>
                </w14:textFill>
              </w:rPr>
            </w:pPr>
          </w:p>
        </w:tc>
        <w:tc>
          <w:tcPr>
            <w:tcW w:w="1521" w:type="dxa"/>
            <w:gridSpan w:val="2"/>
            <w:vAlign w:val="center"/>
          </w:tcPr>
          <w:p>
            <w:pPr>
              <w:jc w:val="center"/>
              <w:rPr>
                <w:rFonts w:ascii="宋体" w:hAnsi="宋体" w:eastAsia="宋体" w:cs="宋体"/>
                <w:color w:val="000000" w:themeColor="text1"/>
                <w:szCs w:val="21"/>
                <w14:textFill>
                  <w14:solidFill>
                    <w14:schemeClr w14:val="tx1"/>
                  </w14:solidFill>
                </w14:textFill>
              </w:rPr>
            </w:pPr>
          </w:p>
        </w:tc>
        <w:tc>
          <w:tcPr>
            <w:tcW w:w="2384" w:type="dxa"/>
            <w:gridSpan w:val="3"/>
            <w:vAlign w:val="center"/>
          </w:tcPr>
          <w:p>
            <w:pPr>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41" w:type="dxa"/>
            <w:gridSpan w:val="2"/>
            <w:vAlign w:val="center"/>
          </w:tcPr>
          <w:p>
            <w:pPr>
              <w:jc w:val="center"/>
              <w:rPr>
                <w:rFonts w:ascii="宋体" w:hAnsi="宋体" w:eastAsia="宋体" w:cs="宋体"/>
                <w:color w:val="000000" w:themeColor="text1"/>
                <w:szCs w:val="21"/>
                <w14:textFill>
                  <w14:solidFill>
                    <w14:schemeClr w14:val="tx1"/>
                  </w14:solidFill>
                </w14:textFill>
              </w:rPr>
            </w:pPr>
          </w:p>
        </w:tc>
        <w:tc>
          <w:tcPr>
            <w:tcW w:w="1641" w:type="dxa"/>
            <w:gridSpan w:val="2"/>
            <w:vAlign w:val="center"/>
          </w:tcPr>
          <w:p>
            <w:pPr>
              <w:jc w:val="center"/>
              <w:rPr>
                <w:rFonts w:ascii="宋体" w:hAnsi="宋体" w:eastAsia="宋体" w:cs="宋体"/>
                <w:color w:val="000000" w:themeColor="text1"/>
                <w:szCs w:val="21"/>
                <w14:textFill>
                  <w14:solidFill>
                    <w14:schemeClr w14:val="tx1"/>
                  </w14:solidFill>
                </w14:textFill>
              </w:rPr>
            </w:pPr>
          </w:p>
        </w:tc>
        <w:tc>
          <w:tcPr>
            <w:tcW w:w="1541" w:type="dxa"/>
            <w:gridSpan w:val="4"/>
            <w:vAlign w:val="center"/>
          </w:tcPr>
          <w:p>
            <w:pPr>
              <w:jc w:val="center"/>
              <w:rPr>
                <w:rFonts w:ascii="宋体" w:hAnsi="宋体" w:eastAsia="宋体" w:cs="宋体"/>
                <w:color w:val="000000" w:themeColor="text1"/>
                <w:szCs w:val="21"/>
                <w14:textFill>
                  <w14:solidFill>
                    <w14:schemeClr w14:val="tx1"/>
                  </w14:solidFill>
                </w14:textFill>
              </w:rPr>
            </w:pPr>
          </w:p>
        </w:tc>
        <w:tc>
          <w:tcPr>
            <w:tcW w:w="1521" w:type="dxa"/>
            <w:gridSpan w:val="2"/>
            <w:vAlign w:val="center"/>
          </w:tcPr>
          <w:p>
            <w:pPr>
              <w:jc w:val="center"/>
              <w:rPr>
                <w:rFonts w:ascii="宋体" w:hAnsi="宋体" w:eastAsia="宋体" w:cs="宋体"/>
                <w:color w:val="000000" w:themeColor="text1"/>
                <w:szCs w:val="21"/>
                <w14:textFill>
                  <w14:solidFill>
                    <w14:schemeClr w14:val="tx1"/>
                  </w14:solidFill>
                </w14:textFill>
              </w:rPr>
            </w:pPr>
          </w:p>
        </w:tc>
        <w:tc>
          <w:tcPr>
            <w:tcW w:w="2384" w:type="dxa"/>
            <w:gridSpan w:val="3"/>
            <w:vAlign w:val="center"/>
          </w:tcPr>
          <w:p>
            <w:pPr>
              <w:jc w:val="center"/>
              <w:rPr>
                <w:rFonts w:ascii="宋体" w:hAnsi="宋体" w:eastAsia="宋体" w:cs="宋体"/>
                <w:color w:val="000000" w:themeColor="text1"/>
                <w:szCs w:val="21"/>
                <w14:textFill>
                  <w14:solidFill>
                    <w14:schemeClr w14:val="tx1"/>
                  </w14:solidFill>
                </w14:textFill>
              </w:rPr>
            </w:pPr>
          </w:p>
        </w:tc>
      </w:tr>
    </w:tbl>
    <w:p>
      <w:pPr>
        <w:pStyle w:val="2"/>
        <w:overflowPunct w:val="0"/>
        <w:spacing w:before="156" w:beforeLines="50" w:after="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注明：需提供证明资料内容详见</w:t>
      </w:r>
      <w:r>
        <w:rPr>
          <w:rFonts w:hint="eastAsia" w:ascii="宋体" w:hAnsi="宋体" w:cs="宋体"/>
          <w:color w:val="000000" w:themeColor="text1"/>
          <w:szCs w:val="21"/>
          <w:u w:val="single"/>
          <w14:textFill>
            <w14:solidFill>
              <w14:schemeClr w14:val="tx1"/>
            </w14:solidFill>
          </w14:textFill>
        </w:rPr>
        <w:t xml:space="preserve">（招标文件第四部分 评标方法、步骤、标准之附表三详细评审表相对应条款） </w:t>
      </w:r>
      <w:r>
        <w:rPr>
          <w:rFonts w:hint="eastAsia" w:ascii="宋体" w:hAnsi="宋体" w:cs="宋体"/>
          <w:color w:val="000000" w:themeColor="text1"/>
          <w:szCs w:val="21"/>
          <w14:textFill>
            <w14:solidFill>
              <w14:schemeClr w14:val="tx1"/>
            </w14:solidFill>
          </w14:textFill>
        </w:rPr>
        <w:t>。</w:t>
      </w: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tbl>
      <w:tblPr>
        <w:tblStyle w:val="21"/>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53"/>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overflowPunct w:val="0"/>
              <w:adjustRightIn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投标人名称（加盖公章）：</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年           月            日</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bl>
    <w:p>
      <w:pPr>
        <w:spacing w:line="360" w:lineRule="auto"/>
        <w:rPr>
          <w:rFonts w:ascii="宋体" w:hAnsi="宋体" w:eastAsia="宋体" w:cs="宋体"/>
          <w:color w:val="000000" w:themeColor="text1"/>
          <w:szCs w:val="21"/>
          <w14:textFill>
            <w14:solidFill>
              <w14:schemeClr w14:val="tx1"/>
            </w14:solidFill>
          </w14:textFill>
        </w:rPr>
      </w:pPr>
    </w:p>
    <w:p>
      <w:pPr>
        <w:pStyle w:val="4"/>
        <w:keepNext w:val="0"/>
        <w:keepLines w:val="0"/>
        <w:pageBreakBefore/>
        <w:spacing w:line="415" w:lineRule="auto"/>
        <w:jc w:val="left"/>
        <w:rPr>
          <w:rStyle w:val="23"/>
          <w:rFonts w:ascii="宋体" w:hAnsi="宋体" w:eastAsia="宋体" w:cs="宋体"/>
          <w:b/>
          <w:bCs w:val="0"/>
          <w:color w:val="000000" w:themeColor="text1"/>
          <w:spacing w:val="12"/>
          <w:sz w:val="21"/>
          <w14:textFill>
            <w14:solidFill>
              <w14:schemeClr w14:val="tx1"/>
            </w14:solidFill>
          </w14:textFill>
        </w:rPr>
      </w:pPr>
      <w:bookmarkStart w:id="170" w:name="_Toc391627772"/>
      <w:bookmarkStart w:id="171" w:name="_Toc405313976"/>
      <w:bookmarkStart w:id="172" w:name="_Toc16544"/>
      <w:r>
        <w:rPr>
          <w:rStyle w:val="23"/>
          <w:rFonts w:hint="eastAsia" w:ascii="宋体" w:hAnsi="宋体" w:eastAsia="宋体" w:cs="宋体"/>
          <w:b/>
          <w:bCs w:val="0"/>
          <w:color w:val="000000" w:themeColor="text1"/>
          <w:spacing w:val="12"/>
          <w:sz w:val="21"/>
          <w14:textFill>
            <w14:solidFill>
              <w14:schemeClr w14:val="tx1"/>
            </w14:solidFill>
          </w14:textFill>
        </w:rPr>
        <w:t>附件2-15拟投入本项目服务设备设施情况表</w:t>
      </w:r>
      <w:bookmarkEnd w:id="170"/>
      <w:bookmarkEnd w:id="171"/>
      <w:bookmarkEnd w:id="172"/>
    </w:p>
    <w:p>
      <w:pPr>
        <w:spacing w:before="624" w:beforeLines="200" w:after="312" w:afterLines="100" w:line="360" w:lineRule="auto"/>
        <w:jc w:val="center"/>
        <w:rPr>
          <w:rFonts w:ascii="宋体" w:hAnsi="宋体" w:eastAsia="宋体" w:cs="宋体"/>
          <w:b/>
          <w:color w:val="000000" w:themeColor="text1"/>
          <w:spacing w:val="10"/>
          <w:sz w:val="28"/>
          <w:szCs w:val="28"/>
          <w14:textFill>
            <w14:solidFill>
              <w14:schemeClr w14:val="tx1"/>
            </w14:solidFill>
          </w14:textFill>
        </w:rPr>
      </w:pPr>
      <w:r>
        <w:rPr>
          <w:rFonts w:hint="eastAsia" w:ascii="宋体" w:hAnsi="宋体" w:eastAsia="宋体" w:cs="宋体"/>
          <w:b/>
          <w:color w:val="000000" w:themeColor="text1"/>
          <w:spacing w:val="10"/>
          <w:sz w:val="28"/>
          <w:szCs w:val="28"/>
          <w14:textFill>
            <w14:solidFill>
              <w14:schemeClr w14:val="tx1"/>
            </w14:solidFill>
          </w14:textFill>
        </w:rPr>
        <w:t>拟投入本项目服务设备设施情况表</w:t>
      </w:r>
    </w:p>
    <w:tbl>
      <w:tblPr>
        <w:tblStyle w:val="2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2021"/>
        <w:gridCol w:w="1504"/>
        <w:gridCol w:w="947"/>
        <w:gridCol w:w="2064"/>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8528" w:type="dxa"/>
            <w:gridSpan w:val="6"/>
            <w:vAlign w:val="center"/>
          </w:tcPr>
          <w:p>
            <w:pPr>
              <w:jc w:val="left"/>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项目名称：</w:t>
            </w:r>
            <w:r>
              <w:rPr>
                <w:rFonts w:hint="eastAsia" w:ascii="宋体" w:hAnsi="宋体" w:eastAsia="宋体" w:cs="宋体"/>
                <w:b/>
                <w:color w:val="000000" w:themeColor="text1"/>
                <w:szCs w:val="21"/>
                <w14:textFill>
                  <w14:solidFill>
                    <w14:schemeClr w14:val="tx1"/>
                  </w14:solidFill>
                </w14:textFill>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87"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序号</w:t>
            </w:r>
          </w:p>
        </w:tc>
        <w:tc>
          <w:tcPr>
            <w:tcW w:w="2021"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名称</w:t>
            </w:r>
          </w:p>
        </w:tc>
        <w:tc>
          <w:tcPr>
            <w:tcW w:w="1504"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规格型号</w:t>
            </w:r>
          </w:p>
        </w:tc>
        <w:tc>
          <w:tcPr>
            <w:tcW w:w="947"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数量</w:t>
            </w:r>
          </w:p>
        </w:tc>
        <w:tc>
          <w:tcPr>
            <w:tcW w:w="2064"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使用年限</w:t>
            </w:r>
          </w:p>
        </w:tc>
        <w:tc>
          <w:tcPr>
            <w:tcW w:w="1305"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687"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021"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504"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947"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064"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305"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687"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021"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504"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947"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064"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305"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687"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021"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504"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947"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064"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305"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687"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021"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504"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947"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064"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305"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687"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021"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504"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947"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064"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305"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687"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021"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504"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947"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064"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305"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687"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021"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504"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947"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064"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305"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687"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021"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504"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947"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2064"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305"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p>
        </w:tc>
      </w:tr>
    </w:tbl>
    <w:p>
      <w:pPr>
        <w:spacing w:before="156" w:beforeLines="50"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注明：需提供证明资料内容详见</w:t>
      </w:r>
      <w:r>
        <w:rPr>
          <w:rFonts w:hint="eastAsia" w:ascii="宋体" w:hAnsi="宋体" w:eastAsia="宋体" w:cs="宋体"/>
          <w:color w:val="000000" w:themeColor="text1"/>
          <w:szCs w:val="21"/>
          <w:u w:val="single"/>
          <w14:textFill>
            <w14:solidFill>
              <w14:schemeClr w14:val="tx1"/>
            </w14:solidFill>
          </w14:textFill>
        </w:rPr>
        <w:t xml:space="preserve">（招标文件第四部分 评标方法、步骤、标准之附表三详细评审表相对应条款） </w:t>
      </w:r>
      <w:r>
        <w:rPr>
          <w:rFonts w:hint="eastAsia" w:ascii="宋体" w:hAnsi="宋体" w:eastAsia="宋体" w:cs="宋体"/>
          <w:color w:val="000000" w:themeColor="text1"/>
          <w:szCs w:val="21"/>
          <w14:textFill>
            <w14:solidFill>
              <w14:schemeClr w14:val="tx1"/>
            </w14:solidFill>
          </w14:textFill>
        </w:rPr>
        <w:t>。</w:t>
      </w: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tbl>
      <w:tblPr>
        <w:tblStyle w:val="21"/>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53"/>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overflowPunct w:val="0"/>
              <w:adjustRightIn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投标人名称（加盖公章）：</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年           月            日</w:t>
            </w:r>
          </w:p>
        </w:tc>
        <w:tc>
          <w:tcPr>
            <w:tcW w:w="3175" w:type="dxa"/>
          </w:tcPr>
          <w:p>
            <w:pPr>
              <w:spacing w:line="360" w:lineRule="auto"/>
              <w:rPr>
                <w:rFonts w:ascii="宋体" w:hAnsi="宋体" w:eastAsia="宋体" w:cs="宋体"/>
                <w:color w:val="000000" w:themeColor="text1"/>
                <w:szCs w:val="21"/>
                <w14:textFill>
                  <w14:solidFill>
                    <w14:schemeClr w14:val="tx1"/>
                  </w14:solidFill>
                </w14:textFill>
              </w:rPr>
            </w:pPr>
          </w:p>
        </w:tc>
      </w:tr>
    </w:tbl>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pStyle w:val="4"/>
        <w:numPr>
          <w:ilvl w:val="0"/>
          <w:numId w:val="44"/>
        </w:numPr>
        <w:rPr>
          <w:color w:val="000000" w:themeColor="text1"/>
          <w:sz w:val="24"/>
          <w:szCs w:val="24"/>
          <w14:textFill>
            <w14:solidFill>
              <w14:schemeClr w14:val="tx1"/>
            </w14:solidFill>
          </w14:textFill>
        </w:rPr>
      </w:pPr>
      <w:bookmarkStart w:id="173" w:name="_Toc9689"/>
      <w:r>
        <w:rPr>
          <w:rFonts w:hint="eastAsia"/>
          <w:color w:val="000000" w:themeColor="text1"/>
          <w:sz w:val="24"/>
          <w:szCs w:val="24"/>
          <w14:textFill>
            <w14:solidFill>
              <w14:schemeClr w14:val="tx1"/>
            </w14:solidFill>
          </w14:textFill>
        </w:rPr>
        <w:t>唱标信封</w:t>
      </w:r>
      <w:bookmarkEnd w:id="173"/>
    </w:p>
    <w:p>
      <w:pPr>
        <w:pStyle w:val="29"/>
        <w:spacing w:before="312" w:beforeLines="100" w:after="312" w:afterLines="100" w:line="360" w:lineRule="auto"/>
        <w:ind w:firstLine="0" w:firstLineChars="0"/>
        <w:jc w:val="left"/>
        <w:rPr>
          <w:rFonts w:ascii="宋体" w:hAnsi="宋体" w:eastAsia="宋体" w:cs="宋体"/>
          <w:b/>
          <w:color w:val="000000" w:themeColor="text1"/>
          <w:spacing w:val="20"/>
          <w:sz w:val="24"/>
          <w:szCs w:val="24"/>
          <w14:textFill>
            <w14:solidFill>
              <w14:schemeClr w14:val="tx1"/>
            </w14:solidFill>
          </w14:textFill>
        </w:rPr>
      </w:pPr>
      <w:r>
        <w:rPr>
          <w:rFonts w:hint="eastAsia" w:ascii="宋体" w:hAnsi="宋体" w:eastAsia="宋体" w:cs="宋体"/>
          <w:b/>
          <w:color w:val="000000" w:themeColor="text1"/>
          <w:spacing w:val="20"/>
          <w:sz w:val="24"/>
          <w:szCs w:val="24"/>
          <w14:textFill>
            <w14:solidFill>
              <w14:schemeClr w14:val="tx1"/>
            </w14:solidFill>
          </w14:textFill>
        </w:rPr>
        <w:t>唱标信封内装：</w:t>
      </w:r>
    </w:p>
    <w:p>
      <w:pPr>
        <w:pStyle w:val="29"/>
        <w:numPr>
          <w:ilvl w:val="0"/>
          <w:numId w:val="60"/>
        </w:numPr>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开标一览表复印件加盖投标人公章；</w:t>
      </w:r>
    </w:p>
    <w:p>
      <w:pPr>
        <w:pStyle w:val="29"/>
        <w:numPr>
          <w:ilvl w:val="0"/>
          <w:numId w:val="60"/>
        </w:numPr>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投标保证金汇入情况说明加盖投标人公章；（见其它可选表格）</w:t>
      </w:r>
    </w:p>
    <w:p>
      <w:pPr>
        <w:pStyle w:val="29"/>
        <w:numPr>
          <w:ilvl w:val="0"/>
          <w:numId w:val="60"/>
        </w:numPr>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银行汇款凭证复印件加盖投标人公章；</w:t>
      </w:r>
    </w:p>
    <w:p>
      <w:pPr>
        <w:pStyle w:val="29"/>
        <w:numPr>
          <w:ilvl w:val="0"/>
          <w:numId w:val="60"/>
        </w:numPr>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电子文件（CD-R光盘或优盘）；</w:t>
      </w:r>
    </w:p>
    <w:p>
      <w:pPr>
        <w:pStyle w:val="29"/>
        <w:numPr>
          <w:ilvl w:val="0"/>
          <w:numId w:val="60"/>
        </w:numPr>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其他格式（如有）</w:t>
      </w:r>
      <w:r>
        <w:rPr>
          <w:rFonts w:hint="eastAsia" w:ascii="宋体" w:hAnsi="宋体" w:eastAsia="宋体" w:cs="宋体"/>
          <w:color w:val="000000" w:themeColor="text1"/>
          <w:szCs w:val="21"/>
          <w14:textFill>
            <w14:solidFill>
              <w14:schemeClr w14:val="tx1"/>
            </w14:solidFill>
          </w14:textFill>
        </w:rPr>
        <w:t>。</w:t>
      </w: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pStyle w:val="4"/>
        <w:numPr>
          <w:ilvl w:val="0"/>
          <w:numId w:val="44"/>
        </w:numPr>
        <w:rPr>
          <w:color w:val="000000" w:themeColor="text1"/>
          <w:sz w:val="24"/>
          <w:szCs w:val="24"/>
          <w14:textFill>
            <w14:solidFill>
              <w14:schemeClr w14:val="tx1"/>
            </w14:solidFill>
          </w14:textFill>
        </w:rPr>
      </w:pPr>
      <w:bookmarkStart w:id="174" w:name="_Toc18673"/>
      <w:r>
        <w:rPr>
          <w:rFonts w:hint="eastAsia"/>
          <w:color w:val="000000" w:themeColor="text1"/>
          <w:sz w:val="24"/>
          <w:szCs w:val="24"/>
          <w14:textFill>
            <w14:solidFill>
              <w14:schemeClr w14:val="tx1"/>
            </w14:solidFill>
          </w14:textFill>
        </w:rPr>
        <w:t>其它可选表格</w:t>
      </w:r>
      <w:bookmarkEnd w:id="174"/>
    </w:p>
    <w:p>
      <w:pPr>
        <w:spacing w:before="312" w:beforeLines="100" w:after="312" w:afterLines="100"/>
        <w:jc w:val="center"/>
        <w:rPr>
          <w:rFonts w:ascii="宋体" w:hAnsi="宋体" w:eastAsia="宋体" w:cs="宋体"/>
          <w:b/>
          <w:color w:val="000000" w:themeColor="text1"/>
          <w:spacing w:val="20"/>
          <w:sz w:val="28"/>
          <w:szCs w:val="28"/>
          <w14:textFill>
            <w14:solidFill>
              <w14:schemeClr w14:val="tx1"/>
            </w14:solidFill>
          </w14:textFill>
        </w:rPr>
      </w:pPr>
      <w:r>
        <w:rPr>
          <w:rFonts w:hint="eastAsia" w:ascii="宋体" w:hAnsi="宋体" w:eastAsia="宋体" w:cs="宋体"/>
          <w:b/>
          <w:color w:val="000000" w:themeColor="text1"/>
          <w:spacing w:val="20"/>
          <w:sz w:val="28"/>
          <w:szCs w:val="28"/>
          <w14:textFill>
            <w14:solidFill>
              <w14:schemeClr w14:val="tx1"/>
            </w14:solidFill>
          </w14:textFill>
        </w:rPr>
        <w:t>投标保证金汇入情况说明</w:t>
      </w:r>
    </w:p>
    <w:p>
      <w:pPr>
        <w:spacing w:before="468" w:beforeLines="150" w:after="312" w:afterLines="100" w:line="360" w:lineRule="auto"/>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致：广东旭腾项目管理有限公司</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本单位已按</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b/>
          <w:color w:val="000000" w:themeColor="text1"/>
          <w:szCs w:val="21"/>
          <w:u w:val="single"/>
          <w14:textFill>
            <w14:solidFill>
              <w14:schemeClr w14:val="tx1"/>
            </w14:solidFill>
          </w14:textFill>
        </w:rPr>
        <w:t>项目名称</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项目（项目编号：）的招标文件要求，于年月日前以（付款形式）方式汇入指定帐户（帐户名称：，帐号：，开户银行：）。</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本单位投标保证金的汇款情况：（详见附件－投标保证金汇款凭证）</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汇出时间：年月日；</w:t>
      </w:r>
    </w:p>
    <w:p>
      <w:pPr>
        <w:spacing w:line="360" w:lineRule="auto"/>
        <w:ind w:firstLine="420" w:firstLineChars="200"/>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汇款金额：（大写）人民币元（小写：￥元），</w:t>
      </w:r>
    </w:p>
    <w:p>
      <w:pPr>
        <w:spacing w:line="360" w:lineRule="auto"/>
        <w:ind w:firstLine="420" w:firstLineChars="200"/>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汇款帐户名称：</w:t>
      </w:r>
      <w:r>
        <w:rPr>
          <w:rFonts w:hint="eastAsia" w:ascii="宋体" w:hAnsi="宋体" w:eastAsia="宋体" w:cs="宋体"/>
          <w:color w:val="000000" w:themeColor="text1"/>
          <w:szCs w:val="21"/>
          <w:u w:val="single"/>
          <w14:textFill>
            <w14:solidFill>
              <w14:schemeClr w14:val="tx1"/>
            </w14:solidFill>
          </w14:textFill>
        </w:rPr>
        <w:t xml:space="preserve">         （必须是投标时使用的帐户名）                        </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帐    号：</w:t>
      </w:r>
      <w:r>
        <w:rPr>
          <w:rFonts w:hint="eastAsia" w:ascii="宋体" w:hAnsi="宋体" w:eastAsia="宋体" w:cs="宋体"/>
          <w:color w:val="000000" w:themeColor="text1"/>
          <w:szCs w:val="21"/>
          <w:u w:val="single"/>
          <w14:textFill>
            <w14:solidFill>
              <w14:schemeClr w14:val="tx1"/>
            </w14:solidFill>
          </w14:textFill>
        </w:rPr>
        <w:t xml:space="preserve">              （必须是投标时使用的帐号）                         </w:t>
      </w:r>
    </w:p>
    <w:p>
      <w:pPr>
        <w:spacing w:line="360" w:lineRule="auto"/>
        <w:ind w:firstLine="420" w:firstLineChars="200"/>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开户银行：</w:t>
      </w:r>
      <w:r>
        <w:rPr>
          <w:rFonts w:hint="eastAsia" w:ascii="宋体" w:hAnsi="宋体" w:eastAsia="宋体" w:cs="宋体"/>
          <w:color w:val="000000" w:themeColor="text1"/>
          <w:szCs w:val="21"/>
          <w:u w:val="single"/>
          <w14:textFill>
            <w14:solidFill>
              <w14:schemeClr w14:val="tx1"/>
            </w14:solidFill>
          </w14:textFill>
        </w:rPr>
        <w:t xml:space="preserve">            省             市           银行           支行      </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本单位谨承诺上述资料是正确、真实的，如因上述证明与事实不符导致的一切损失，本单位保证承担赔偿等一切法律责任。</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投标保证金退回时，请按上述资料退回。</w:t>
      </w:r>
    </w:p>
    <w:p>
      <w:pPr>
        <w:spacing w:line="360" w:lineRule="auto"/>
        <w:ind w:right="844" w:rightChars="402"/>
        <w:jc w:val="righ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（单位公章）</w:t>
      </w:r>
    </w:p>
    <w:p>
      <w:pPr>
        <w:spacing w:line="360" w:lineRule="auto"/>
        <w:ind w:right="628" w:rightChars="299"/>
        <w:jc w:val="righ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年     月    日</w:t>
      </w:r>
    </w:p>
    <w:p>
      <w:pPr>
        <w:spacing w:line="360" w:lineRule="auto"/>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单位名称：</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单位地址：</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联 系 人：</w:t>
      </w:r>
      <w:r>
        <w:rPr>
          <w:rFonts w:hint="eastAsia" w:ascii="宋体" w:hAnsi="宋体" w:eastAsia="宋体" w:cs="宋体"/>
          <w:i/>
          <w:color w:val="000000" w:themeColor="text1"/>
          <w:szCs w:val="21"/>
          <w:u w:val="single"/>
          <w14:textFill>
            <w14:solidFill>
              <w14:schemeClr w14:val="tx1"/>
            </w14:solidFill>
          </w14:textFill>
        </w:rPr>
        <w:t>（投标单位财务）</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单位电话：      联系人手机：</w:t>
      </w:r>
    </w:p>
    <w:tbl>
      <w:tblPr>
        <w:tblStyle w:val="20"/>
        <w:tblW w:w="8528" w:type="dxa"/>
        <w:jc w:val="center"/>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8528"/>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rPr>
          <w:trHeight w:val="2310" w:hRule="atLeast"/>
          <w:jc w:val="center"/>
        </w:trPr>
        <w:tc>
          <w:tcPr>
            <w:tcW w:w="8528"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附件：我方投标保证金汇款凭证（复印件加盖投标人公章）</w:t>
            </w:r>
          </w:p>
        </w:tc>
      </w:tr>
    </w:tbl>
    <w:p>
      <w:pPr>
        <w:spacing w:line="360" w:lineRule="auto"/>
        <w:rPr>
          <w:rFonts w:ascii="宋体" w:hAnsi="宋体" w:eastAsia="宋体" w:cs="宋体"/>
          <w:bCs/>
          <w:color w:val="000000" w:themeColor="text1"/>
          <w:szCs w:val="21"/>
          <w:lang w:val="zh-CN"/>
          <w14:textFill>
            <w14:solidFill>
              <w14:schemeClr w14:val="tx1"/>
            </w14:solidFill>
          </w14:textFill>
        </w:rPr>
      </w:pPr>
      <w:r>
        <w:rPr>
          <w:rFonts w:hint="eastAsia" w:ascii="宋体" w:hAnsi="宋体" w:eastAsia="宋体" w:cs="宋体"/>
          <w:bCs/>
          <w:color w:val="000000" w:themeColor="text1"/>
          <w:szCs w:val="21"/>
          <w:lang w:val="zh-CN"/>
          <w14:textFill>
            <w14:solidFill>
              <w14:schemeClr w14:val="tx1"/>
            </w14:solidFill>
          </w14:textFill>
        </w:rPr>
        <w:t>注：本情况说明手写无效。</w:t>
      </w:r>
    </w:p>
    <w:p>
      <w:pPr>
        <w:spacing w:line="360" w:lineRule="auto"/>
        <w:rPr>
          <w:rFonts w:ascii="宋体" w:hAnsi="宋体" w:eastAsia="宋体" w:cs="宋体"/>
          <w:bCs/>
          <w:color w:val="000000" w:themeColor="text1"/>
          <w:szCs w:val="21"/>
          <w:lang w:val="zh-CN"/>
          <w14:textFill>
            <w14:solidFill>
              <w14:schemeClr w14:val="tx1"/>
            </w14:solidFill>
          </w14:textFill>
        </w:rPr>
      </w:pPr>
    </w:p>
    <w:p>
      <w:pPr>
        <w:spacing w:before="156" w:beforeLines="50" w:after="312" w:afterLines="100" w:line="360" w:lineRule="auto"/>
        <w:jc w:val="center"/>
        <w:rPr>
          <w:rFonts w:ascii="宋体" w:hAnsi="宋体" w:eastAsia="宋体" w:cs="宋体"/>
          <w:b/>
          <w:color w:val="000000" w:themeColor="text1"/>
          <w:spacing w:val="20"/>
          <w:sz w:val="28"/>
          <w:szCs w:val="28"/>
          <w14:textFill>
            <w14:solidFill>
              <w14:schemeClr w14:val="tx1"/>
            </w14:solidFill>
          </w14:textFill>
        </w:rPr>
      </w:pPr>
      <w:r>
        <w:rPr>
          <w:rFonts w:hint="eastAsia" w:ascii="宋体" w:hAnsi="宋体" w:eastAsia="宋体" w:cs="宋体"/>
          <w:b/>
          <w:color w:val="000000" w:themeColor="text1"/>
          <w:spacing w:val="20"/>
          <w:sz w:val="28"/>
          <w:szCs w:val="28"/>
          <w14:textFill>
            <w14:solidFill>
              <w14:schemeClr w14:val="tx1"/>
            </w14:solidFill>
          </w14:textFill>
        </w:rPr>
        <w:t>履约保函格式</w:t>
      </w:r>
    </w:p>
    <w:p>
      <w:pPr>
        <w:spacing w:line="360" w:lineRule="auto"/>
        <w:ind w:right="17"/>
        <w:rPr>
          <w:rFonts w:ascii="宋体" w:hAnsi="宋体" w:eastAsia="宋体" w:cs="宋体"/>
          <w:color w:val="000000" w:themeColor="text1"/>
          <w:szCs w:val="21"/>
          <w:lang w:val="zh-CN"/>
          <w14:textFill>
            <w14:solidFill>
              <w14:schemeClr w14:val="tx1"/>
            </w14:solidFill>
          </w14:textFill>
        </w:rPr>
      </w:pPr>
      <w:r>
        <w:rPr>
          <w:rFonts w:hint="eastAsia" w:ascii="宋体" w:hAnsi="宋体" w:eastAsia="宋体" w:cs="宋体"/>
          <w:color w:val="000000" w:themeColor="text1"/>
          <w:szCs w:val="21"/>
          <w:lang w:val="zh-CN"/>
          <w14:textFill>
            <w14:solidFill>
              <w14:schemeClr w14:val="tx1"/>
            </w14:solidFill>
          </w14:textFill>
        </w:rPr>
        <w:t>开具日期：</w:t>
      </w:r>
    </w:p>
    <w:p>
      <w:pPr>
        <w:spacing w:line="360" w:lineRule="auto"/>
        <w:ind w:right="17"/>
        <w:rPr>
          <w:rFonts w:ascii="宋体" w:hAnsi="宋体" w:eastAsia="宋体" w:cs="宋体"/>
          <w:color w:val="000000" w:themeColor="text1"/>
          <w:szCs w:val="21"/>
          <w:lang w:val="zh-CN"/>
          <w14:textFill>
            <w14:solidFill>
              <w14:schemeClr w14:val="tx1"/>
            </w14:solidFill>
          </w14:textFill>
        </w:rPr>
      </w:pPr>
      <w:r>
        <w:rPr>
          <w:rFonts w:hint="eastAsia" w:ascii="宋体" w:hAnsi="宋体" w:eastAsia="宋体" w:cs="宋体"/>
          <w:color w:val="000000" w:themeColor="text1"/>
          <w:szCs w:val="21"/>
          <w:lang w:val="zh-CN"/>
          <w14:textFill>
            <w14:solidFill>
              <w14:schemeClr w14:val="tx1"/>
            </w14:solidFill>
          </w14:textFill>
        </w:rPr>
        <w:t>受益人：</w:t>
      </w:r>
      <w:r>
        <w:rPr>
          <w:rFonts w:hint="eastAsia" w:ascii="宋体" w:hAnsi="宋体" w:eastAsia="宋体" w:cs="宋体"/>
          <w:color w:val="000000" w:themeColor="text1"/>
          <w:szCs w:val="21"/>
          <w:u w:val="single"/>
          <w:lang w:val="zh-CN"/>
          <w14:textFill>
            <w14:solidFill>
              <w14:schemeClr w14:val="tx1"/>
            </w14:solidFill>
          </w14:textFill>
        </w:rPr>
        <w:t xml:space="preserve">        （委托人）       </w:t>
      </w:r>
    </w:p>
    <w:p>
      <w:pPr>
        <w:spacing w:line="360" w:lineRule="auto"/>
        <w:ind w:right="17"/>
        <w:rPr>
          <w:rFonts w:ascii="宋体" w:hAnsi="宋体" w:eastAsia="宋体" w:cs="宋体"/>
          <w:color w:val="000000" w:themeColor="text1"/>
          <w:szCs w:val="21"/>
          <w:lang w:val="zh-CN"/>
          <w14:textFill>
            <w14:solidFill>
              <w14:schemeClr w14:val="tx1"/>
            </w14:solidFill>
          </w14:textFill>
        </w:rPr>
      </w:pPr>
      <w:r>
        <w:rPr>
          <w:rFonts w:hint="eastAsia" w:ascii="宋体" w:hAnsi="宋体" w:eastAsia="宋体" w:cs="宋体"/>
          <w:color w:val="000000" w:themeColor="text1"/>
          <w:szCs w:val="21"/>
          <w:lang w:val="zh-CN"/>
          <w14:textFill>
            <w14:solidFill>
              <w14:schemeClr w14:val="tx1"/>
            </w14:solidFill>
          </w14:textFill>
        </w:rPr>
        <w:t>号合同履约保函</w:t>
      </w:r>
    </w:p>
    <w:p>
      <w:pPr>
        <w:spacing w:before="312" w:beforeLines="100" w:line="360" w:lineRule="auto"/>
        <w:ind w:right="17" w:firstLine="420"/>
        <w:rPr>
          <w:rFonts w:ascii="宋体" w:hAnsi="宋体" w:eastAsia="宋体" w:cs="宋体"/>
          <w:color w:val="000000" w:themeColor="text1"/>
          <w:szCs w:val="21"/>
          <w:lang w:val="zh-CN"/>
          <w14:textFill>
            <w14:solidFill>
              <w14:schemeClr w14:val="tx1"/>
            </w14:solidFill>
          </w14:textFill>
        </w:rPr>
      </w:pPr>
      <w:r>
        <w:rPr>
          <w:rFonts w:hint="eastAsia" w:ascii="宋体" w:hAnsi="宋体" w:eastAsia="宋体" w:cs="宋体"/>
          <w:color w:val="000000" w:themeColor="text1"/>
          <w:szCs w:val="21"/>
          <w:lang w:val="zh-CN"/>
          <w14:textFill>
            <w14:solidFill>
              <w14:schemeClr w14:val="tx1"/>
            </w14:solidFill>
          </w14:textFill>
        </w:rPr>
        <w:t>本保函作为贵方与承包人（中标单位： ）于年月日就项目项下提供服务签订的合同的履约保函。</w:t>
      </w:r>
    </w:p>
    <w:p>
      <w:pPr>
        <w:spacing w:after="156" w:afterLines="50" w:line="360" w:lineRule="auto"/>
        <w:ind w:right="17" w:firstLine="420"/>
        <w:rPr>
          <w:rFonts w:ascii="宋体" w:hAnsi="宋体" w:eastAsia="宋体" w:cs="宋体"/>
          <w:color w:val="000000" w:themeColor="text1"/>
          <w:szCs w:val="21"/>
          <w:lang w:val="zh-CN"/>
          <w14:textFill>
            <w14:solidFill>
              <w14:schemeClr w14:val="tx1"/>
            </w14:solidFill>
          </w14:textFill>
        </w:rPr>
      </w:pPr>
      <w:r>
        <w:rPr>
          <w:rFonts w:hint="eastAsia" w:ascii="宋体" w:hAnsi="宋体" w:eastAsia="宋体" w:cs="宋体"/>
          <w:color w:val="000000" w:themeColor="text1"/>
          <w:szCs w:val="21"/>
          <w:lang w:val="zh-CN"/>
          <w14:textFill>
            <w14:solidFill>
              <w14:schemeClr w14:val="tx1"/>
            </w14:solidFill>
          </w14:textFill>
        </w:rPr>
        <w:t>(开具银行)无条件地、不可撤销地保证本行、其继承人和受让人无追索地向贵方支付(合同总价的)，并以此约定如下：</w:t>
      </w:r>
    </w:p>
    <w:p>
      <w:pPr>
        <w:pStyle w:val="29"/>
        <w:numPr>
          <w:ilvl w:val="0"/>
          <w:numId w:val="61"/>
        </w:numPr>
        <w:spacing w:line="360" w:lineRule="auto"/>
        <w:ind w:firstLineChars="0"/>
        <w:rPr>
          <w:rFonts w:ascii="宋体" w:hAnsi="宋体" w:eastAsia="宋体" w:cs="宋体"/>
          <w:color w:val="000000" w:themeColor="text1"/>
          <w:szCs w:val="21"/>
          <w:lang w:val="zh-CN"/>
          <w14:textFill>
            <w14:solidFill>
              <w14:schemeClr w14:val="tx1"/>
            </w14:solidFill>
          </w14:textFill>
        </w:rPr>
      </w:pPr>
      <w:r>
        <w:rPr>
          <w:rFonts w:hint="eastAsia" w:ascii="宋体" w:hAnsi="宋体" w:eastAsia="宋体" w:cs="宋体"/>
          <w:color w:val="000000" w:themeColor="text1"/>
          <w:szCs w:val="21"/>
          <w:lang w:val="zh-CN"/>
          <w14:textFill>
            <w14:solidFill>
              <w14:schemeClr w14:val="tx1"/>
            </w14:solidFill>
          </w14:textFill>
        </w:rPr>
        <w:t>承包人未能忠实地履行所有合同文件的规定和双方此后可能作出的并同意的修改、补充和变动,包括更换或修补贵方认为不合格的服务(以下简称"违约"), 只要贵方确定,无论承包人有何反对, 本行将凭贵方的书面违约通知, 立即按贵方提出的不超过上述累计总额的金额和按该通知中规定的方式付给贵方。</w:t>
      </w:r>
    </w:p>
    <w:p>
      <w:pPr>
        <w:pStyle w:val="29"/>
        <w:numPr>
          <w:ilvl w:val="0"/>
          <w:numId w:val="61"/>
        </w:numPr>
        <w:spacing w:line="360" w:lineRule="auto"/>
        <w:ind w:firstLineChars="0"/>
        <w:rPr>
          <w:rFonts w:ascii="宋体" w:hAnsi="宋体" w:eastAsia="宋体" w:cs="宋体"/>
          <w:color w:val="000000" w:themeColor="text1"/>
          <w:szCs w:val="21"/>
          <w:lang w:val="zh-CN"/>
          <w14:textFill>
            <w14:solidFill>
              <w14:schemeClr w14:val="tx1"/>
            </w14:solidFill>
          </w14:textFill>
        </w:rPr>
      </w:pPr>
      <w:r>
        <w:rPr>
          <w:rFonts w:hint="eastAsia" w:ascii="宋体" w:hAnsi="宋体" w:eastAsia="宋体" w:cs="宋体"/>
          <w:color w:val="000000" w:themeColor="text1"/>
          <w:szCs w:val="21"/>
          <w:lang w:val="zh-CN"/>
          <w14:textFill>
            <w14:solidFill>
              <w14:schemeClr w14:val="tx1"/>
            </w14:solidFill>
          </w14:textFill>
        </w:rPr>
        <w:t>本保证金项下的任何支付应为免税和净值, 无论任何人以何种理由提出扣减现有或未来的收费、关税、费用或扣款, 均不能从本保函中扣除。</w:t>
      </w:r>
    </w:p>
    <w:p>
      <w:pPr>
        <w:pStyle w:val="29"/>
        <w:numPr>
          <w:ilvl w:val="0"/>
          <w:numId w:val="61"/>
        </w:numPr>
        <w:spacing w:line="360" w:lineRule="auto"/>
        <w:ind w:firstLineChars="0"/>
        <w:rPr>
          <w:rFonts w:ascii="宋体" w:hAnsi="宋体" w:eastAsia="宋体" w:cs="宋体"/>
          <w:color w:val="000000" w:themeColor="text1"/>
          <w:szCs w:val="21"/>
          <w:lang w:val="zh-CN"/>
          <w14:textFill>
            <w14:solidFill>
              <w14:schemeClr w14:val="tx1"/>
            </w14:solidFill>
          </w14:textFill>
        </w:rPr>
      </w:pPr>
      <w:r>
        <w:rPr>
          <w:rFonts w:hint="eastAsia" w:ascii="宋体" w:hAnsi="宋体" w:eastAsia="宋体" w:cs="宋体"/>
          <w:color w:val="000000" w:themeColor="text1"/>
          <w:szCs w:val="21"/>
          <w:lang w:val="zh-CN"/>
          <w14:textFill>
            <w14:solidFill>
              <w14:schemeClr w14:val="tx1"/>
            </w14:solidFill>
          </w14:textFill>
        </w:rPr>
        <w:t>本保函的规定构成本行无条件的、不可撤销的直接义务。 今后任何对合同条款的修改、贵方在时间上的通融、其他宽容、让步或由贵方采取的除了本款以外都适用的可能免除本行责任的任何删除或其他行为, 均不能解除或免除本行在该保函项下的责任。</w:t>
      </w:r>
    </w:p>
    <w:p>
      <w:pPr>
        <w:pStyle w:val="29"/>
        <w:numPr>
          <w:ilvl w:val="0"/>
          <w:numId w:val="61"/>
        </w:numPr>
        <w:spacing w:line="360" w:lineRule="auto"/>
        <w:ind w:firstLineChars="0"/>
        <w:rPr>
          <w:rFonts w:ascii="宋体" w:hAnsi="宋体" w:eastAsia="宋体" w:cs="宋体"/>
          <w:color w:val="000000" w:themeColor="text1"/>
          <w:szCs w:val="21"/>
          <w:lang w:val="zh-CN"/>
          <w14:textFill>
            <w14:solidFill>
              <w14:schemeClr w14:val="tx1"/>
            </w14:solidFill>
          </w14:textFill>
        </w:rPr>
      </w:pPr>
      <w:r>
        <w:rPr>
          <w:rFonts w:hint="eastAsia" w:ascii="宋体" w:hAnsi="宋体" w:eastAsia="宋体" w:cs="宋体"/>
          <w:color w:val="000000" w:themeColor="text1"/>
          <w:szCs w:val="21"/>
          <w:lang w:val="zh-CN"/>
          <w14:textFill>
            <w14:solidFill>
              <w14:schemeClr w14:val="tx1"/>
            </w14:solidFill>
          </w14:textFill>
        </w:rPr>
        <w:t>本保函在承包人完成其合同义务并结算完成后二十八(28)天内完全有效。如果本履约保函的有效期先于招标文件要求的履约保函有效期到达，承包人应在本履约保函有效期满前15天内，无条件办理履约保函延期手续，否则视为承包人违约，贵方可在履约保函到期前将履约保函金额转为现金存入履约保证金账户。</w:t>
      </w:r>
    </w:p>
    <w:p>
      <w:pPr>
        <w:spacing w:before="468" w:beforeLines="150" w:line="360" w:lineRule="auto"/>
        <w:ind w:right="17" w:firstLine="4723"/>
        <w:rPr>
          <w:rFonts w:ascii="宋体" w:hAnsi="宋体" w:eastAsia="宋体" w:cs="宋体"/>
          <w:color w:val="000000" w:themeColor="text1"/>
          <w:szCs w:val="21"/>
          <w:lang w:val="zh-CN"/>
          <w14:textFill>
            <w14:solidFill>
              <w14:schemeClr w14:val="tx1"/>
            </w14:solidFill>
          </w14:textFill>
        </w:rPr>
      </w:pPr>
      <w:r>
        <w:rPr>
          <w:rFonts w:hint="eastAsia" w:ascii="宋体" w:hAnsi="宋体" w:eastAsia="宋体" w:cs="宋体"/>
          <w:color w:val="000000" w:themeColor="text1"/>
          <w:szCs w:val="21"/>
          <w:lang w:val="zh-CN"/>
          <w14:textFill>
            <w14:solidFill>
              <w14:schemeClr w14:val="tx1"/>
            </w14:solidFill>
          </w14:textFill>
        </w:rPr>
        <w:t>开具行名称</w:t>
      </w:r>
    </w:p>
    <w:p>
      <w:pPr>
        <w:spacing w:line="360" w:lineRule="auto"/>
        <w:ind w:right="17" w:firstLine="4725"/>
        <w:rPr>
          <w:rFonts w:ascii="宋体" w:hAnsi="宋体" w:eastAsia="宋体" w:cs="宋体"/>
          <w:color w:val="000000" w:themeColor="text1"/>
          <w:szCs w:val="21"/>
          <w:lang w:val="zh-CN"/>
          <w14:textFill>
            <w14:solidFill>
              <w14:schemeClr w14:val="tx1"/>
            </w14:solidFill>
          </w14:textFill>
        </w:rPr>
      </w:pPr>
      <w:r>
        <w:rPr>
          <w:rFonts w:hint="eastAsia" w:ascii="宋体" w:hAnsi="宋体" w:eastAsia="宋体" w:cs="宋体"/>
          <w:color w:val="000000" w:themeColor="text1"/>
          <w:szCs w:val="21"/>
          <w:lang w:val="zh-CN"/>
          <w14:textFill>
            <w14:solidFill>
              <w14:schemeClr w14:val="tx1"/>
            </w14:solidFill>
          </w14:textFill>
        </w:rPr>
        <w:t>签字(印刷体姓名和职务)</w:t>
      </w:r>
    </w:p>
    <w:p>
      <w:pPr>
        <w:spacing w:line="360" w:lineRule="auto"/>
        <w:ind w:firstLine="4725" w:firstLineChars="2250"/>
        <w:rPr>
          <w:rFonts w:ascii="宋体" w:hAnsi="宋体" w:eastAsia="宋体" w:cs="宋体"/>
          <w:color w:val="000000" w:themeColor="text1"/>
          <w:szCs w:val="21"/>
          <w:u w:val="single"/>
          <w:lang w:val="zh-CN"/>
          <w14:textFill>
            <w14:solidFill>
              <w14:schemeClr w14:val="tx1"/>
            </w14:solidFill>
          </w14:textFill>
        </w:rPr>
      </w:pPr>
      <w:r>
        <w:rPr>
          <w:rFonts w:hint="eastAsia" w:ascii="宋体" w:hAnsi="宋体" w:eastAsia="宋体" w:cs="宋体"/>
          <w:color w:val="000000" w:themeColor="text1"/>
          <w:szCs w:val="21"/>
          <w:lang w:val="zh-CN"/>
          <w14:textFill>
            <w14:solidFill>
              <w14:schemeClr w14:val="tx1"/>
            </w14:solidFill>
          </w14:textFill>
        </w:rPr>
        <w:t>公章</w:t>
      </w:r>
    </w:p>
    <w:sectPr>
      <w:footerReference r:id="rId15" w:type="first"/>
      <w:footerReference r:id="rId14" w:type="default"/>
      <w:pgSz w:w="11906" w:h="16838"/>
      <w:pgMar w:top="1701" w:right="1797" w:bottom="1304" w:left="1797" w:header="851" w:footer="68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56964"/>
    </w:sdtPr>
    <w:sdtContent>
      <w:p>
        <w:pPr>
          <w:pStyle w:val="13"/>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69262"/>
    </w:sdtPr>
    <w:sdtContent>
      <w:p>
        <w:pPr>
          <w:pStyle w:val="13"/>
          <w:jc w:val="center"/>
        </w:pPr>
        <w:r>
          <w:fldChar w:fldCharType="begin"/>
        </w:r>
        <w:r>
          <w:instrText xml:space="preserve"> PAGE   \* MERGEFORMAT </w:instrText>
        </w:r>
        <w:r>
          <w:fldChar w:fldCharType="separate"/>
        </w:r>
        <w:r>
          <w:rPr>
            <w:lang w:val="zh-CN"/>
          </w:rPr>
          <w:t>3</w:t>
        </w:r>
        <w:r>
          <w:rPr>
            <w:lang w:val="zh-CN"/>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1664731272"/>
                          </w:sdtPr>
                          <w:sdtContent>
                            <w:p>
                              <w:pPr>
                                <w:pStyle w:val="13"/>
                                <w:jc w:val="center"/>
                              </w:pPr>
                              <w:r>
                                <w:fldChar w:fldCharType="begin"/>
                              </w:r>
                              <w:r>
                                <w:instrText xml:space="preserve"> PAGE   \* MERGEFORMAT </w:instrText>
                              </w:r>
                              <w:r>
                                <w:fldChar w:fldCharType="separate"/>
                              </w:r>
                              <w:r>
                                <w:rPr>
                                  <w:lang w:val="zh-CN"/>
                                </w:rPr>
                                <w:t>15</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fill on="f" focussize="0,0"/>
              <v:stroke on="f" weight="0.5pt"/>
              <v:imagedata o:title=""/>
              <o:lock v:ext="edit" aspectratio="f"/>
              <v:textbox inset="0mm,0mm,0mm,0mm" style="mso-fit-shape-to-text:t;">
                <w:txbxContent>
                  <w:sdt>
                    <w:sdtPr>
                      <w:id w:val="1664731272"/>
                    </w:sdtPr>
                    <w:sdtContent>
                      <w:p>
                        <w:pPr>
                          <w:pStyle w:val="13"/>
                          <w:jc w:val="center"/>
                        </w:pPr>
                        <w:r>
                          <w:fldChar w:fldCharType="begin"/>
                        </w:r>
                        <w:r>
                          <w:instrText xml:space="preserve"> PAGE   \* MERGEFORMAT </w:instrText>
                        </w:r>
                        <w:r>
                          <w:fldChar w:fldCharType="separate"/>
                        </w:r>
                        <w:r>
                          <w:rPr>
                            <w:lang w:val="zh-CN"/>
                          </w:rPr>
                          <w:t>15</w:t>
                        </w:r>
                        <w:r>
                          <w:rPr>
                            <w:lang w:val="zh-CN"/>
                          </w:rPr>
                          <w:fldChar w:fldCharType="end"/>
                        </w:r>
                      </w:p>
                    </w:sdtContent>
                  </w:sd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广东旭腾项目管理有限公司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rFonts w:hint="eastAsia" w:ascii="黑体" w:hAnsi="黑体" w:eastAsia="黑体"/>
      </w:rPr>
      <w:t>广东旭腾项目管理有限公司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EA9B63"/>
    <w:multiLevelType w:val="multilevel"/>
    <w:tmpl w:val="97EA9B63"/>
    <w:lvl w:ilvl="0" w:tentative="0">
      <w:start w:val="1"/>
      <w:numFmt w:val="decimal"/>
      <w:lvlText w:val="%1."/>
      <w:lvlJc w:val="left"/>
      <w:pPr>
        <w:tabs>
          <w:tab w:val="left" w:pos="425"/>
        </w:tabs>
        <w:ind w:left="425" w:hanging="425"/>
      </w:pPr>
      <w:rPr>
        <w:rFonts w:hint="eastAsia"/>
        <w:b/>
        <w:i w:val="0"/>
        <w:sz w:val="24"/>
      </w:rPr>
    </w:lvl>
    <w:lvl w:ilvl="1" w:tentative="0">
      <w:start w:val="1"/>
      <w:numFmt w:val="decimal"/>
      <w:lvlText w:val="%1.%2"/>
      <w:lvlJc w:val="left"/>
      <w:pPr>
        <w:tabs>
          <w:tab w:val="left" w:pos="567"/>
        </w:tabs>
        <w:ind w:left="567" w:hanging="567"/>
      </w:pPr>
      <w:rPr>
        <w:rFonts w:hint="eastAsia"/>
        <w:b w:val="0"/>
        <w:i w:val="0"/>
        <w:sz w:val="21"/>
      </w:rPr>
    </w:lvl>
    <w:lvl w:ilvl="2" w:tentative="0">
      <w:start w:val="1"/>
      <w:numFmt w:val="decimal"/>
      <w:lvlText w:val="2.3.%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b w:val="0"/>
        <w:i w:val="0"/>
        <w:color w:val="000000"/>
        <w:sz w:val="21"/>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0000004"/>
    <w:multiLevelType w:val="multilevel"/>
    <w:tmpl w:val="00000004"/>
    <w:lvl w:ilvl="0" w:tentative="0">
      <w:start w:val="1"/>
      <w:numFmt w:val="decimal"/>
      <w:lvlText w:val="（%1）"/>
      <w:lvlJc w:val="left"/>
      <w:pPr>
        <w:tabs>
          <w:tab w:val="left" w:pos="1440"/>
        </w:tabs>
        <w:ind w:left="144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5"/>
    <w:multiLevelType w:val="multilevel"/>
    <w:tmpl w:val="00000005"/>
    <w:lvl w:ilvl="0" w:tentative="0">
      <w:start w:val="1"/>
      <w:numFmt w:val="decimal"/>
      <w:lvlText w:val="%1."/>
      <w:lvlJc w:val="left"/>
      <w:pPr>
        <w:tabs>
          <w:tab w:val="left" w:pos="425"/>
        </w:tabs>
        <w:ind w:left="425" w:hanging="425"/>
      </w:pPr>
      <w:rPr>
        <w:rFonts w:hint="eastAsia"/>
        <w:b/>
        <w:i w:val="0"/>
        <w:sz w:val="24"/>
      </w:rPr>
    </w:lvl>
    <w:lvl w:ilvl="1" w:tentative="0">
      <w:start w:val="1"/>
      <w:numFmt w:val="decimal"/>
      <w:lvlText w:val="%1.%2"/>
      <w:lvlJc w:val="left"/>
      <w:pPr>
        <w:tabs>
          <w:tab w:val="left" w:pos="567"/>
        </w:tabs>
        <w:ind w:left="567" w:hanging="567"/>
      </w:pPr>
      <w:rPr>
        <w:rFonts w:hint="eastAsia"/>
        <w:b w:val="0"/>
        <w:i w:val="0"/>
        <w:sz w:val="21"/>
      </w:rPr>
    </w:lvl>
    <w:lvl w:ilvl="2" w:tentative="0">
      <w:start w:val="1"/>
      <w:numFmt w:val="decimal"/>
      <w:lvlText w:val="2.3.%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b w:val="0"/>
        <w:i w:val="0"/>
        <w:color w:val="000000"/>
        <w:sz w:val="21"/>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0000008"/>
    <w:multiLevelType w:val="multilevel"/>
    <w:tmpl w:val="00000008"/>
    <w:lvl w:ilvl="0" w:tentative="0">
      <w:start w:val="1"/>
      <w:numFmt w:val="decimal"/>
      <w:lvlText w:val="（%1）"/>
      <w:lvlJc w:val="left"/>
      <w:pPr>
        <w:tabs>
          <w:tab w:val="left" w:pos="1440"/>
        </w:tabs>
        <w:ind w:left="144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9"/>
    <w:multiLevelType w:val="multilevel"/>
    <w:tmpl w:val="00000009"/>
    <w:lvl w:ilvl="0" w:tentative="0">
      <w:start w:val="1"/>
      <w:numFmt w:val="decimal"/>
      <w:lvlText w:val="（%1）"/>
      <w:lvlJc w:val="left"/>
      <w:pPr>
        <w:tabs>
          <w:tab w:val="left" w:pos="1440"/>
        </w:tabs>
        <w:ind w:left="1440" w:hanging="720"/>
      </w:pPr>
      <w:rPr>
        <w:rFonts w:hint="eastAsia"/>
      </w:rPr>
    </w:lvl>
    <w:lvl w:ilvl="1" w:tentative="0">
      <w:start w:val="1"/>
      <w:numFmt w:val="bullet"/>
      <w:lvlText w:val=""/>
      <w:lvlJc w:val="left"/>
      <w:pPr>
        <w:tabs>
          <w:tab w:val="left" w:pos="1494"/>
        </w:tabs>
        <w:ind w:left="1474" w:hanging="340"/>
      </w:pPr>
      <w:rPr>
        <w:rFonts w:hint="default" w:ascii="Wingdings" w:hAnsi="Wingdings"/>
      </w:rPr>
    </w:lvl>
    <w:lvl w:ilvl="2" w:tentative="0">
      <w:start w:val="1"/>
      <w:numFmt w:val="chineseCountingThousand"/>
      <w:lvlText w:val="%3、"/>
      <w:lvlJc w:val="left"/>
      <w:pPr>
        <w:tabs>
          <w:tab w:val="left" w:pos="624"/>
        </w:tabs>
        <w:ind w:left="624" w:hanging="624"/>
      </w:pPr>
      <w:rPr>
        <w:rFonts w:hint="eastAsia" w:eastAsia="宋体"/>
        <w:b w:val="0"/>
        <w:i w:val="0"/>
        <w:sz w:val="24"/>
      </w:rPr>
    </w:lvl>
    <w:lvl w:ilvl="3" w:tentative="0">
      <w:start w:val="1"/>
      <w:numFmt w:val="decimal"/>
      <w:lvlText w:val="%4、"/>
      <w:lvlJc w:val="left"/>
      <w:pPr>
        <w:tabs>
          <w:tab w:val="left" w:pos="454"/>
        </w:tabs>
        <w:ind w:left="454" w:hanging="454"/>
      </w:pPr>
      <w:rPr>
        <w:rFonts w:hint="eastAsia"/>
      </w:rPr>
    </w:lvl>
    <w:lvl w:ilvl="4" w:tentative="0">
      <w:start w:val="1"/>
      <w:numFmt w:val="decimal"/>
      <w:lvlText w:val="%5."/>
      <w:lvlJc w:val="left"/>
      <w:pPr>
        <w:tabs>
          <w:tab w:val="left" w:pos="2100"/>
        </w:tabs>
        <w:ind w:left="2100" w:hanging="420"/>
      </w:pPr>
      <w:rPr>
        <w:rFonts w:hint="eastAsia"/>
      </w:rPr>
    </w:lvl>
    <w:lvl w:ilvl="5" w:tentative="0">
      <w:start w:val="1"/>
      <w:numFmt w:val="upperLetter"/>
      <w:lvlText w:val="%6）"/>
      <w:lvlJc w:val="left"/>
      <w:pPr>
        <w:tabs>
          <w:tab w:val="left" w:pos="2098"/>
        </w:tabs>
        <w:ind w:left="2155" w:hanging="624"/>
      </w:pPr>
      <w:rPr>
        <w:rFonts w:hint="default"/>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2"/>
    <w:multiLevelType w:val="multilevel"/>
    <w:tmpl w:val="00000012"/>
    <w:lvl w:ilvl="0" w:tentative="0">
      <w:start w:val="1"/>
      <w:numFmt w:val="decimal"/>
      <w:lvlText w:val="%1."/>
      <w:lvlJc w:val="left"/>
      <w:pPr>
        <w:tabs>
          <w:tab w:val="left" w:pos="851"/>
        </w:tabs>
        <w:ind w:left="851" w:hanging="851"/>
      </w:pPr>
      <w:rPr>
        <w:rFonts w:hint="eastAsia" w:ascii="宋体" w:eastAsia="宋体"/>
        <w:b/>
        <w:i w:val="0"/>
        <w:sz w:val="24"/>
      </w:rPr>
    </w:lvl>
    <w:lvl w:ilvl="1" w:tentative="0">
      <w:start w:val="1"/>
      <w:numFmt w:val="decimal"/>
      <w:lvlText w:val="%1.%2"/>
      <w:lvlJc w:val="left"/>
      <w:pPr>
        <w:tabs>
          <w:tab w:val="left" w:pos="851"/>
        </w:tabs>
        <w:ind w:left="851" w:hanging="851"/>
      </w:pPr>
      <w:rPr>
        <w:rFonts w:hint="eastAsia" w:ascii="宋体" w:eastAsia="宋体"/>
        <w:b w:val="0"/>
        <w:i w:val="0"/>
        <w:sz w:val="21"/>
      </w:rPr>
    </w:lvl>
    <w:lvl w:ilvl="2" w:tentative="0">
      <w:start w:val="1"/>
      <w:numFmt w:val="decimal"/>
      <w:lvlText w:val="%1.%2.%3"/>
      <w:lvlJc w:val="left"/>
      <w:pPr>
        <w:tabs>
          <w:tab w:val="left" w:pos="851"/>
        </w:tabs>
        <w:ind w:left="851" w:hanging="851"/>
      </w:pPr>
      <w:rPr>
        <w:rFonts w:hint="eastAsia"/>
      </w:rPr>
    </w:lvl>
    <w:lvl w:ilvl="3" w:tentative="0">
      <w:start w:val="1"/>
      <w:numFmt w:val="decimal"/>
      <w:lvlText w:val="(%4)"/>
      <w:lvlJc w:val="left"/>
      <w:pPr>
        <w:tabs>
          <w:tab w:val="left" w:pos="851"/>
        </w:tabs>
        <w:ind w:left="851" w:hanging="567"/>
      </w:pPr>
      <w:rPr>
        <w:rFonts w:hint="eastAsia" w:ascii="宋体" w:eastAsia="宋体"/>
        <w:b w:val="0"/>
        <w:i w:val="0"/>
        <w:color w:val="000000"/>
        <w:sz w:val="21"/>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6">
    <w:nsid w:val="00000013"/>
    <w:multiLevelType w:val="multilevel"/>
    <w:tmpl w:val="00000013"/>
    <w:lvl w:ilvl="0" w:tentative="0">
      <w:start w:val="1"/>
      <w:numFmt w:val="decimal"/>
      <w:lvlText w:val="（%1）"/>
      <w:lvlJc w:val="left"/>
      <w:pPr>
        <w:tabs>
          <w:tab w:val="left" w:pos="1440"/>
        </w:tabs>
        <w:ind w:left="144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5"/>
    <w:multiLevelType w:val="multilevel"/>
    <w:tmpl w:val="00000015"/>
    <w:lvl w:ilvl="0" w:tentative="0">
      <w:start w:val="1"/>
      <w:numFmt w:val="decimal"/>
      <w:lvlText w:val="（%1）"/>
      <w:lvlJc w:val="left"/>
      <w:pPr>
        <w:tabs>
          <w:tab w:val="left" w:pos="1440"/>
        </w:tabs>
        <w:ind w:left="1440" w:hanging="720"/>
      </w:pPr>
      <w:rPr>
        <w:rFonts w:hint="eastAsia"/>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8">
    <w:nsid w:val="00000017"/>
    <w:multiLevelType w:val="multilevel"/>
    <w:tmpl w:val="00000017"/>
    <w:lvl w:ilvl="0" w:tentative="0">
      <w:start w:val="1"/>
      <w:numFmt w:val="decimal"/>
      <w:lvlText w:val="%1."/>
      <w:lvlJc w:val="left"/>
      <w:pPr>
        <w:tabs>
          <w:tab w:val="left" w:pos="851"/>
        </w:tabs>
        <w:ind w:left="851" w:hanging="851"/>
      </w:pPr>
      <w:rPr>
        <w:rFonts w:hint="eastAsia" w:ascii="宋体" w:eastAsia="宋体"/>
        <w:b/>
        <w:i w:val="0"/>
        <w:sz w:val="24"/>
      </w:rPr>
    </w:lvl>
    <w:lvl w:ilvl="1" w:tentative="0">
      <w:start w:val="1"/>
      <w:numFmt w:val="decimal"/>
      <w:lvlText w:val="%1.%2"/>
      <w:lvlJc w:val="left"/>
      <w:pPr>
        <w:tabs>
          <w:tab w:val="left" w:pos="851"/>
        </w:tabs>
        <w:ind w:left="851" w:hanging="851"/>
      </w:pPr>
      <w:rPr>
        <w:rFonts w:hint="eastAsia" w:ascii="宋体" w:eastAsia="宋体"/>
        <w:b w:val="0"/>
        <w:i w:val="0"/>
        <w:sz w:val="21"/>
      </w:rPr>
    </w:lvl>
    <w:lvl w:ilvl="2" w:tentative="0">
      <w:start w:val="1"/>
      <w:numFmt w:val="decimal"/>
      <w:lvlText w:val="%1.%2.%3"/>
      <w:lvlJc w:val="left"/>
      <w:pPr>
        <w:tabs>
          <w:tab w:val="left" w:pos="851"/>
        </w:tabs>
        <w:ind w:left="851" w:hanging="851"/>
      </w:pPr>
      <w:rPr>
        <w:rFonts w:hint="eastAsia"/>
      </w:rPr>
    </w:lvl>
    <w:lvl w:ilvl="3" w:tentative="0">
      <w:start w:val="1"/>
      <w:numFmt w:val="decimal"/>
      <w:lvlText w:val="(%4)"/>
      <w:lvlJc w:val="left"/>
      <w:pPr>
        <w:tabs>
          <w:tab w:val="left" w:pos="851"/>
        </w:tabs>
        <w:ind w:left="851" w:hanging="567"/>
      </w:pPr>
      <w:rPr>
        <w:rFonts w:hint="eastAsia" w:ascii="宋体" w:eastAsia="宋体"/>
        <w:b w:val="0"/>
        <w:i w:val="0"/>
        <w:color w:val="000000"/>
        <w:sz w:val="21"/>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9">
    <w:nsid w:val="0000001A"/>
    <w:multiLevelType w:val="multilevel"/>
    <w:tmpl w:val="0000001A"/>
    <w:lvl w:ilvl="0" w:tentative="0">
      <w:start w:val="1"/>
      <w:numFmt w:val="bullet"/>
      <w:lvlText w:val=""/>
      <w:lvlJc w:val="left"/>
      <w:pPr>
        <w:tabs>
          <w:tab w:val="left" w:pos="1680"/>
        </w:tabs>
        <w:ind w:left="1680" w:hanging="420"/>
      </w:pPr>
      <w:rPr>
        <w:rFonts w:hint="default" w:ascii="Wingdings" w:hAnsi="Wingdings"/>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0">
    <w:nsid w:val="00000022"/>
    <w:multiLevelType w:val="multilevel"/>
    <w:tmpl w:val="00000022"/>
    <w:lvl w:ilvl="0" w:tentative="0">
      <w:start w:val="1"/>
      <w:numFmt w:val="decimal"/>
      <w:lvlText w:val="（%1）"/>
      <w:lvlJc w:val="left"/>
      <w:pPr>
        <w:tabs>
          <w:tab w:val="left" w:pos="1440"/>
        </w:tabs>
        <w:ind w:left="1440" w:hanging="720"/>
      </w:pPr>
      <w:rPr>
        <w:rFonts w:hint="eastAsia"/>
      </w:rPr>
    </w:lvl>
    <w:lvl w:ilvl="1" w:tentative="0">
      <w:start w:val="1"/>
      <w:numFmt w:val="bullet"/>
      <w:lvlText w:val=""/>
      <w:lvlJc w:val="left"/>
      <w:pPr>
        <w:tabs>
          <w:tab w:val="left" w:pos="1494"/>
        </w:tabs>
        <w:ind w:left="1474" w:hanging="340"/>
      </w:pPr>
      <w:rPr>
        <w:rFonts w:hint="default" w:ascii="Wingdings" w:hAnsi="Wingdings"/>
      </w:rPr>
    </w:lvl>
    <w:lvl w:ilvl="2" w:tentative="0">
      <w:start w:val="1"/>
      <w:numFmt w:val="chineseCountingThousand"/>
      <w:lvlText w:val="%3、"/>
      <w:lvlJc w:val="left"/>
      <w:pPr>
        <w:tabs>
          <w:tab w:val="left" w:pos="624"/>
        </w:tabs>
        <w:ind w:left="624" w:hanging="624"/>
      </w:pPr>
      <w:rPr>
        <w:rFonts w:hint="eastAsia" w:eastAsia="宋体"/>
        <w:b w:val="0"/>
        <w:i w:val="0"/>
        <w:sz w:val="24"/>
      </w:rPr>
    </w:lvl>
    <w:lvl w:ilvl="3" w:tentative="0">
      <w:start w:val="1"/>
      <w:numFmt w:val="decimal"/>
      <w:lvlText w:val="%4、"/>
      <w:lvlJc w:val="left"/>
      <w:pPr>
        <w:tabs>
          <w:tab w:val="left" w:pos="454"/>
        </w:tabs>
        <w:ind w:left="454" w:hanging="454"/>
      </w:pPr>
      <w:rPr>
        <w:rFonts w:hint="eastAsia"/>
      </w:rPr>
    </w:lvl>
    <w:lvl w:ilvl="4" w:tentative="0">
      <w:start w:val="1"/>
      <w:numFmt w:val="decimal"/>
      <w:lvlText w:val="%5."/>
      <w:lvlJc w:val="left"/>
      <w:pPr>
        <w:tabs>
          <w:tab w:val="left" w:pos="2100"/>
        </w:tabs>
        <w:ind w:left="2100" w:hanging="420"/>
      </w:pPr>
      <w:rPr>
        <w:rFonts w:hint="eastAsia"/>
      </w:rPr>
    </w:lvl>
    <w:lvl w:ilvl="5" w:tentative="0">
      <w:start w:val="1"/>
      <w:numFmt w:val="upperLetter"/>
      <w:lvlText w:val="%6）"/>
      <w:lvlJc w:val="left"/>
      <w:pPr>
        <w:tabs>
          <w:tab w:val="left" w:pos="2098"/>
        </w:tabs>
        <w:ind w:left="2155" w:hanging="624"/>
      </w:pPr>
      <w:rPr>
        <w:rFonts w:hint="default"/>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27"/>
    <w:multiLevelType w:val="multilevel"/>
    <w:tmpl w:val="00000027"/>
    <w:lvl w:ilvl="0" w:tentative="0">
      <w:start w:val="1"/>
      <w:numFmt w:val="decimal"/>
      <w:lvlText w:val="（%1）"/>
      <w:lvlJc w:val="left"/>
      <w:pPr>
        <w:tabs>
          <w:tab w:val="left" w:pos="1440"/>
        </w:tabs>
        <w:ind w:left="144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36"/>
    <w:multiLevelType w:val="multilevel"/>
    <w:tmpl w:val="00000036"/>
    <w:lvl w:ilvl="0" w:tentative="0">
      <w:start w:val="1"/>
      <w:numFmt w:val="decimal"/>
      <w:lvlText w:val="%1"/>
      <w:lvlJc w:val="left"/>
      <w:pPr>
        <w:ind w:left="425" w:hanging="425"/>
      </w:pPr>
      <w:rPr>
        <w:rFonts w:hint="eastAsia"/>
      </w:rPr>
    </w:lvl>
    <w:lvl w:ilvl="1" w:tentative="0">
      <w:start w:val="1"/>
      <w:numFmt w:val="chineseCountingThousand"/>
      <w:lvlText w:val="%2、"/>
      <w:lvlJc w:val="left"/>
      <w:pPr>
        <w:ind w:left="851" w:hanging="567"/>
      </w:pPr>
      <w:rPr>
        <w:rFonts w:hint="eastAsia"/>
        <w:b w:val="0"/>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02453450"/>
    <w:multiLevelType w:val="multilevel"/>
    <w:tmpl w:val="02453450"/>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4957543"/>
    <w:multiLevelType w:val="multilevel"/>
    <w:tmpl w:val="0495754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EEA5E4A"/>
    <w:multiLevelType w:val="multilevel"/>
    <w:tmpl w:val="0EEA5E4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5771D79"/>
    <w:multiLevelType w:val="multilevel"/>
    <w:tmpl w:val="15771D7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61D17E7"/>
    <w:multiLevelType w:val="multilevel"/>
    <w:tmpl w:val="161D17E7"/>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192841FF"/>
    <w:multiLevelType w:val="multilevel"/>
    <w:tmpl w:val="192841FF"/>
    <w:lvl w:ilvl="0" w:tentative="0">
      <w:start w:val="1"/>
      <w:numFmt w:val="japaneseCounting"/>
      <w:lvlText w:val="%1、"/>
      <w:lvlJc w:val="left"/>
      <w:pPr>
        <w:ind w:left="862" w:hanging="72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9">
    <w:nsid w:val="1C4E0595"/>
    <w:multiLevelType w:val="multilevel"/>
    <w:tmpl w:val="1C4E05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266654B2"/>
    <w:multiLevelType w:val="multilevel"/>
    <w:tmpl w:val="266654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2C2B1E1F"/>
    <w:multiLevelType w:val="multilevel"/>
    <w:tmpl w:val="2C2B1E1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2DBA7B0F"/>
    <w:multiLevelType w:val="multilevel"/>
    <w:tmpl w:val="2DBA7B0F"/>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2F114859"/>
    <w:multiLevelType w:val="multilevel"/>
    <w:tmpl w:val="2F114859"/>
    <w:lvl w:ilvl="0" w:tentative="0">
      <w:start w:val="1"/>
      <w:numFmt w:val="decimal"/>
      <w:lvlText w:val="%1、"/>
      <w:lvlJc w:val="left"/>
      <w:pPr>
        <w:ind w:left="420" w:hanging="420"/>
      </w:pPr>
      <w:rPr>
        <w:rFonts w:hint="default"/>
      </w:rPr>
    </w:lvl>
    <w:lvl w:ilvl="1" w:tentative="0">
      <w:start w:val="1"/>
      <w:numFmt w:val="decimal"/>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2F8426FB"/>
    <w:multiLevelType w:val="multilevel"/>
    <w:tmpl w:val="2F8426F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31246CFD"/>
    <w:multiLevelType w:val="multilevel"/>
    <w:tmpl w:val="31246CFD"/>
    <w:lvl w:ilvl="0" w:tentative="0">
      <w:start w:val="2"/>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346F47EE"/>
    <w:multiLevelType w:val="multilevel"/>
    <w:tmpl w:val="346F47EE"/>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9250F8F"/>
    <w:multiLevelType w:val="multilevel"/>
    <w:tmpl w:val="39250F8F"/>
    <w:lvl w:ilvl="0" w:tentative="0">
      <w:start w:val="2"/>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396F1BD3"/>
    <w:multiLevelType w:val="multilevel"/>
    <w:tmpl w:val="396F1BD3"/>
    <w:lvl w:ilvl="0" w:tentative="0">
      <w:start w:val="1"/>
      <w:numFmt w:val="lowerLetter"/>
      <w:lvlText w:val="%1）"/>
      <w:lvlJc w:val="left"/>
      <w:pPr>
        <w:ind w:left="420" w:hanging="420"/>
      </w:pPr>
      <w:rPr>
        <w:rFonts w:hint="eastAsia" w:eastAsia="黑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3A1627B4"/>
    <w:multiLevelType w:val="singleLevel"/>
    <w:tmpl w:val="3A1627B4"/>
    <w:lvl w:ilvl="0" w:tentative="0">
      <w:start w:val="2"/>
      <w:numFmt w:val="chineseCounting"/>
      <w:suff w:val="space"/>
      <w:lvlText w:val="第%1部分"/>
      <w:lvlJc w:val="left"/>
      <w:rPr>
        <w:rFonts w:hint="eastAsia"/>
      </w:rPr>
    </w:lvl>
  </w:abstractNum>
  <w:abstractNum w:abstractNumId="30">
    <w:nsid w:val="3C780FC1"/>
    <w:multiLevelType w:val="multilevel"/>
    <w:tmpl w:val="3C780FC1"/>
    <w:lvl w:ilvl="0" w:tentative="0">
      <w:start w:val="1"/>
      <w:numFmt w:val="lowerLetter"/>
      <w:lvlText w:val="%1）"/>
      <w:lvlJc w:val="left"/>
      <w:pPr>
        <w:ind w:left="420" w:hanging="420"/>
      </w:pPr>
      <w:rPr>
        <w:rFonts w:hint="eastAsia" w:eastAsia="黑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3EDA68BD"/>
    <w:multiLevelType w:val="multilevel"/>
    <w:tmpl w:val="3EDA68B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4080295E"/>
    <w:multiLevelType w:val="multilevel"/>
    <w:tmpl w:val="4080295E"/>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41D96DD1"/>
    <w:multiLevelType w:val="multilevel"/>
    <w:tmpl w:val="41D96DD1"/>
    <w:lvl w:ilvl="0" w:tentative="0">
      <w:start w:val="1"/>
      <w:numFmt w:val="decimal"/>
      <w:lvlText w:val="%1、"/>
      <w:lvlJc w:val="left"/>
      <w:pPr>
        <w:tabs>
          <w:tab w:val="left" w:pos="900"/>
        </w:tabs>
        <w:ind w:left="900" w:hanging="720"/>
      </w:pPr>
    </w:lvl>
    <w:lvl w:ilvl="1" w:tentative="0">
      <w:start w:val="1"/>
      <w:numFmt w:val="decimal"/>
      <w:lvlText w:val="%2."/>
      <w:lvlJc w:val="left"/>
      <w:pPr>
        <w:tabs>
          <w:tab w:val="left" w:pos="1060"/>
        </w:tabs>
        <w:ind w:left="1060" w:hanging="360"/>
      </w:pPr>
      <w:rPr>
        <w:rFonts w:hint="eastAsia"/>
      </w:rPr>
    </w:lvl>
    <w:lvl w:ilvl="2" w:tentative="0">
      <w:start w:val="1"/>
      <w:numFmt w:val="decimal"/>
      <w:lvlText w:val="%3."/>
      <w:lvlJc w:val="left"/>
      <w:pPr>
        <w:tabs>
          <w:tab w:val="left" w:pos="1780"/>
        </w:tabs>
        <w:ind w:left="1780" w:hanging="360"/>
      </w:pPr>
    </w:lvl>
    <w:lvl w:ilvl="3" w:tentative="0">
      <w:start w:val="1"/>
      <w:numFmt w:val="decimal"/>
      <w:lvlText w:val="%4."/>
      <w:lvlJc w:val="left"/>
      <w:pPr>
        <w:tabs>
          <w:tab w:val="left" w:pos="2500"/>
        </w:tabs>
        <w:ind w:left="2500" w:hanging="360"/>
      </w:pPr>
    </w:lvl>
    <w:lvl w:ilvl="4" w:tentative="0">
      <w:start w:val="1"/>
      <w:numFmt w:val="decimal"/>
      <w:lvlText w:val="%5."/>
      <w:lvlJc w:val="left"/>
      <w:pPr>
        <w:tabs>
          <w:tab w:val="left" w:pos="3220"/>
        </w:tabs>
        <w:ind w:left="3220" w:hanging="360"/>
      </w:pPr>
    </w:lvl>
    <w:lvl w:ilvl="5" w:tentative="0">
      <w:start w:val="1"/>
      <w:numFmt w:val="decimal"/>
      <w:lvlText w:val="%6."/>
      <w:lvlJc w:val="left"/>
      <w:pPr>
        <w:tabs>
          <w:tab w:val="left" w:pos="3940"/>
        </w:tabs>
        <w:ind w:left="3940" w:hanging="360"/>
      </w:pPr>
    </w:lvl>
    <w:lvl w:ilvl="6" w:tentative="0">
      <w:start w:val="1"/>
      <w:numFmt w:val="decimal"/>
      <w:lvlText w:val="%7."/>
      <w:lvlJc w:val="left"/>
      <w:pPr>
        <w:tabs>
          <w:tab w:val="left" w:pos="4660"/>
        </w:tabs>
        <w:ind w:left="4660" w:hanging="360"/>
      </w:pPr>
    </w:lvl>
    <w:lvl w:ilvl="7" w:tentative="0">
      <w:start w:val="1"/>
      <w:numFmt w:val="decimal"/>
      <w:lvlText w:val="%8."/>
      <w:lvlJc w:val="left"/>
      <w:pPr>
        <w:tabs>
          <w:tab w:val="left" w:pos="5380"/>
        </w:tabs>
        <w:ind w:left="5380" w:hanging="360"/>
      </w:pPr>
    </w:lvl>
    <w:lvl w:ilvl="8" w:tentative="0">
      <w:start w:val="1"/>
      <w:numFmt w:val="decimal"/>
      <w:lvlText w:val="%9."/>
      <w:lvlJc w:val="left"/>
      <w:pPr>
        <w:tabs>
          <w:tab w:val="left" w:pos="6100"/>
        </w:tabs>
        <w:ind w:left="6100" w:hanging="360"/>
      </w:pPr>
    </w:lvl>
  </w:abstractNum>
  <w:abstractNum w:abstractNumId="34">
    <w:nsid w:val="47536C22"/>
    <w:multiLevelType w:val="multilevel"/>
    <w:tmpl w:val="47536C22"/>
    <w:lvl w:ilvl="0" w:tentative="0">
      <w:start w:val="1"/>
      <w:numFmt w:val="chineseCountingThousand"/>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49FB7819"/>
    <w:multiLevelType w:val="multilevel"/>
    <w:tmpl w:val="49FB781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4DF03FC9"/>
    <w:multiLevelType w:val="multilevel"/>
    <w:tmpl w:val="4DF03FC9"/>
    <w:lvl w:ilvl="0" w:tentative="0">
      <w:start w:val="1"/>
      <w:numFmt w:val="decimal"/>
      <w:lvlText w:val="%1、"/>
      <w:lvlJc w:val="left"/>
      <w:pPr>
        <w:tabs>
          <w:tab w:val="left" w:pos="900"/>
        </w:tabs>
        <w:ind w:left="900" w:hanging="720"/>
      </w:pPr>
    </w:lvl>
    <w:lvl w:ilvl="1" w:tentative="0">
      <w:start w:val="1"/>
      <w:numFmt w:val="decimal"/>
      <w:lvlText w:val="%2."/>
      <w:lvlJc w:val="left"/>
      <w:pPr>
        <w:tabs>
          <w:tab w:val="left" w:pos="1060"/>
        </w:tabs>
        <w:ind w:left="1060" w:hanging="360"/>
      </w:pPr>
      <w:rPr>
        <w:rFonts w:hint="eastAsia"/>
      </w:rPr>
    </w:lvl>
    <w:lvl w:ilvl="2" w:tentative="0">
      <w:start w:val="1"/>
      <w:numFmt w:val="decimal"/>
      <w:lvlText w:val="%3."/>
      <w:lvlJc w:val="left"/>
      <w:pPr>
        <w:tabs>
          <w:tab w:val="left" w:pos="1780"/>
        </w:tabs>
        <w:ind w:left="1780" w:hanging="360"/>
      </w:pPr>
    </w:lvl>
    <w:lvl w:ilvl="3" w:tentative="0">
      <w:start w:val="1"/>
      <w:numFmt w:val="decimal"/>
      <w:lvlText w:val="%4."/>
      <w:lvlJc w:val="left"/>
      <w:pPr>
        <w:tabs>
          <w:tab w:val="left" w:pos="2500"/>
        </w:tabs>
        <w:ind w:left="2500" w:hanging="360"/>
      </w:pPr>
    </w:lvl>
    <w:lvl w:ilvl="4" w:tentative="0">
      <w:start w:val="1"/>
      <w:numFmt w:val="decimal"/>
      <w:lvlText w:val="%5."/>
      <w:lvlJc w:val="left"/>
      <w:pPr>
        <w:tabs>
          <w:tab w:val="left" w:pos="3220"/>
        </w:tabs>
        <w:ind w:left="3220" w:hanging="360"/>
      </w:pPr>
    </w:lvl>
    <w:lvl w:ilvl="5" w:tentative="0">
      <w:start w:val="1"/>
      <w:numFmt w:val="decimal"/>
      <w:lvlText w:val="%6."/>
      <w:lvlJc w:val="left"/>
      <w:pPr>
        <w:tabs>
          <w:tab w:val="left" w:pos="3940"/>
        </w:tabs>
        <w:ind w:left="3940" w:hanging="360"/>
      </w:pPr>
    </w:lvl>
    <w:lvl w:ilvl="6" w:tentative="0">
      <w:start w:val="1"/>
      <w:numFmt w:val="decimal"/>
      <w:lvlText w:val="%7."/>
      <w:lvlJc w:val="left"/>
      <w:pPr>
        <w:tabs>
          <w:tab w:val="left" w:pos="4660"/>
        </w:tabs>
        <w:ind w:left="4660" w:hanging="360"/>
      </w:pPr>
    </w:lvl>
    <w:lvl w:ilvl="7" w:tentative="0">
      <w:start w:val="1"/>
      <w:numFmt w:val="decimal"/>
      <w:lvlText w:val="%8."/>
      <w:lvlJc w:val="left"/>
      <w:pPr>
        <w:tabs>
          <w:tab w:val="left" w:pos="5380"/>
        </w:tabs>
        <w:ind w:left="5380" w:hanging="360"/>
      </w:pPr>
    </w:lvl>
    <w:lvl w:ilvl="8" w:tentative="0">
      <w:start w:val="1"/>
      <w:numFmt w:val="decimal"/>
      <w:lvlText w:val="%9."/>
      <w:lvlJc w:val="left"/>
      <w:pPr>
        <w:tabs>
          <w:tab w:val="left" w:pos="6100"/>
        </w:tabs>
        <w:ind w:left="6100" w:hanging="360"/>
      </w:pPr>
    </w:lvl>
  </w:abstractNum>
  <w:abstractNum w:abstractNumId="37">
    <w:nsid w:val="4E1D7700"/>
    <w:multiLevelType w:val="multilevel"/>
    <w:tmpl w:val="4E1D770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4F5F332F"/>
    <w:multiLevelType w:val="multilevel"/>
    <w:tmpl w:val="4F5F332F"/>
    <w:lvl w:ilvl="0" w:tentative="0">
      <w:start w:val="1"/>
      <w:numFmt w:val="decimal"/>
      <w:lvlText w:val="%1、"/>
      <w:lvlJc w:val="left"/>
      <w:pPr>
        <w:tabs>
          <w:tab w:val="left" w:pos="900"/>
        </w:tabs>
        <w:ind w:left="900" w:hanging="720"/>
      </w:pPr>
    </w:lvl>
    <w:lvl w:ilvl="1" w:tentative="0">
      <w:start w:val="1"/>
      <w:numFmt w:val="decimal"/>
      <w:lvlText w:val="%2."/>
      <w:lvlJc w:val="left"/>
      <w:pPr>
        <w:tabs>
          <w:tab w:val="left" w:pos="1060"/>
        </w:tabs>
        <w:ind w:left="1060" w:hanging="360"/>
      </w:pPr>
      <w:rPr>
        <w:rFonts w:hint="eastAsia"/>
      </w:rPr>
    </w:lvl>
    <w:lvl w:ilvl="2" w:tentative="0">
      <w:start w:val="1"/>
      <w:numFmt w:val="decimal"/>
      <w:lvlText w:val="%3."/>
      <w:lvlJc w:val="left"/>
      <w:pPr>
        <w:tabs>
          <w:tab w:val="left" w:pos="1780"/>
        </w:tabs>
        <w:ind w:left="1780" w:hanging="360"/>
      </w:pPr>
    </w:lvl>
    <w:lvl w:ilvl="3" w:tentative="0">
      <w:start w:val="1"/>
      <w:numFmt w:val="decimal"/>
      <w:lvlText w:val="%4."/>
      <w:lvlJc w:val="left"/>
      <w:pPr>
        <w:tabs>
          <w:tab w:val="left" w:pos="2500"/>
        </w:tabs>
        <w:ind w:left="2500" w:hanging="360"/>
      </w:pPr>
    </w:lvl>
    <w:lvl w:ilvl="4" w:tentative="0">
      <w:start w:val="1"/>
      <w:numFmt w:val="decimal"/>
      <w:lvlText w:val="%5."/>
      <w:lvlJc w:val="left"/>
      <w:pPr>
        <w:tabs>
          <w:tab w:val="left" w:pos="3220"/>
        </w:tabs>
        <w:ind w:left="3220" w:hanging="360"/>
      </w:pPr>
    </w:lvl>
    <w:lvl w:ilvl="5" w:tentative="0">
      <w:start w:val="1"/>
      <w:numFmt w:val="decimal"/>
      <w:lvlText w:val="%6."/>
      <w:lvlJc w:val="left"/>
      <w:pPr>
        <w:tabs>
          <w:tab w:val="left" w:pos="3940"/>
        </w:tabs>
        <w:ind w:left="3940" w:hanging="360"/>
      </w:pPr>
    </w:lvl>
    <w:lvl w:ilvl="6" w:tentative="0">
      <w:start w:val="1"/>
      <w:numFmt w:val="decimal"/>
      <w:lvlText w:val="%7."/>
      <w:lvlJc w:val="left"/>
      <w:pPr>
        <w:tabs>
          <w:tab w:val="left" w:pos="4660"/>
        </w:tabs>
        <w:ind w:left="4660" w:hanging="360"/>
      </w:pPr>
    </w:lvl>
    <w:lvl w:ilvl="7" w:tentative="0">
      <w:start w:val="1"/>
      <w:numFmt w:val="decimal"/>
      <w:lvlText w:val="%8."/>
      <w:lvlJc w:val="left"/>
      <w:pPr>
        <w:tabs>
          <w:tab w:val="left" w:pos="5380"/>
        </w:tabs>
        <w:ind w:left="5380" w:hanging="360"/>
      </w:pPr>
    </w:lvl>
    <w:lvl w:ilvl="8" w:tentative="0">
      <w:start w:val="1"/>
      <w:numFmt w:val="decimal"/>
      <w:lvlText w:val="%9."/>
      <w:lvlJc w:val="left"/>
      <w:pPr>
        <w:tabs>
          <w:tab w:val="left" w:pos="6100"/>
        </w:tabs>
        <w:ind w:left="6100" w:hanging="360"/>
      </w:pPr>
    </w:lvl>
  </w:abstractNum>
  <w:abstractNum w:abstractNumId="39">
    <w:nsid w:val="506912C7"/>
    <w:multiLevelType w:val="multilevel"/>
    <w:tmpl w:val="506912C7"/>
    <w:lvl w:ilvl="0" w:tentative="0">
      <w:start w:val="1"/>
      <w:numFmt w:val="decimal"/>
      <w:lvlText w:val="%1、"/>
      <w:lvlJc w:val="left"/>
      <w:pPr>
        <w:ind w:left="420" w:hanging="420"/>
      </w:pPr>
      <w:rPr>
        <w:rFonts w:hint="eastAsia" w:ascii="黑体" w:hAnsi="黑体" w:eastAsia="黑体"/>
        <w:b w:val="0"/>
        <w:i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52CF0B72"/>
    <w:multiLevelType w:val="multilevel"/>
    <w:tmpl w:val="52CF0B7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1">
    <w:nsid w:val="53070279"/>
    <w:multiLevelType w:val="multilevel"/>
    <w:tmpl w:val="5307027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55CF31B5"/>
    <w:multiLevelType w:val="multilevel"/>
    <w:tmpl w:val="55CF31B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55E32074"/>
    <w:multiLevelType w:val="multilevel"/>
    <w:tmpl w:val="55E3207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6069557E"/>
    <w:multiLevelType w:val="multilevel"/>
    <w:tmpl w:val="6069557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622D3228"/>
    <w:multiLevelType w:val="multilevel"/>
    <w:tmpl w:val="622D322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62A936E8"/>
    <w:multiLevelType w:val="multilevel"/>
    <w:tmpl w:val="62A936E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633959A9"/>
    <w:multiLevelType w:val="multilevel"/>
    <w:tmpl w:val="633959A9"/>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63BC7DAF"/>
    <w:multiLevelType w:val="multilevel"/>
    <w:tmpl w:val="63BC7DA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65B87E8B"/>
    <w:multiLevelType w:val="multilevel"/>
    <w:tmpl w:val="65B87E8B"/>
    <w:lvl w:ilvl="0" w:tentative="0">
      <w:start w:val="1"/>
      <w:numFmt w:val="decimal"/>
      <w:lvlText w:val="%1"/>
      <w:lvlJc w:val="left"/>
      <w:pPr>
        <w:tabs>
          <w:tab w:val="left" w:pos="425"/>
        </w:tabs>
        <w:ind w:left="425" w:hanging="425"/>
      </w:pPr>
      <w:rPr>
        <w:b/>
      </w:rPr>
    </w:lvl>
    <w:lvl w:ilvl="1" w:tentative="0">
      <w:start w:val="1"/>
      <w:numFmt w:val="decimal"/>
      <w:lvlText w:val="%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2356"/>
        </w:tabs>
        <w:ind w:left="1984" w:hanging="708"/>
      </w:pPr>
    </w:lvl>
    <w:lvl w:ilvl="4" w:tentative="0">
      <w:start w:val="1"/>
      <w:numFmt w:val="decimal"/>
      <w:lvlText w:val="%1.%2.%3.%4.%5"/>
      <w:lvlJc w:val="left"/>
      <w:pPr>
        <w:tabs>
          <w:tab w:val="left" w:pos="2781"/>
        </w:tabs>
        <w:ind w:left="2551" w:hanging="850"/>
      </w:pPr>
    </w:lvl>
    <w:lvl w:ilvl="5" w:tentative="0">
      <w:start w:val="1"/>
      <w:numFmt w:val="decimal"/>
      <w:lvlText w:val="%1.%2.%3.%4.%5.%6"/>
      <w:lvlJc w:val="left"/>
      <w:pPr>
        <w:tabs>
          <w:tab w:val="left" w:pos="3566"/>
        </w:tabs>
        <w:ind w:left="3260" w:hanging="1134"/>
      </w:pPr>
    </w:lvl>
    <w:lvl w:ilvl="6" w:tentative="0">
      <w:start w:val="1"/>
      <w:numFmt w:val="decimal"/>
      <w:lvlText w:val="%1.%2.%3.%4.%5.%6.%7"/>
      <w:lvlJc w:val="left"/>
      <w:pPr>
        <w:tabs>
          <w:tab w:val="left" w:pos="3991"/>
        </w:tabs>
        <w:ind w:left="3827" w:hanging="1276"/>
      </w:pPr>
    </w:lvl>
    <w:lvl w:ilvl="7" w:tentative="0">
      <w:start w:val="1"/>
      <w:numFmt w:val="decimal"/>
      <w:lvlText w:val="%1.%2.%3.%4.%5.%6.%7.%8"/>
      <w:lvlJc w:val="left"/>
      <w:pPr>
        <w:tabs>
          <w:tab w:val="left" w:pos="4776"/>
        </w:tabs>
        <w:ind w:left="4394" w:hanging="1418"/>
      </w:pPr>
    </w:lvl>
    <w:lvl w:ilvl="8" w:tentative="0">
      <w:start w:val="1"/>
      <w:numFmt w:val="decimal"/>
      <w:lvlText w:val="%1.%2.%3.%4.%5.%6.%7.%8.%9"/>
      <w:lvlJc w:val="left"/>
      <w:pPr>
        <w:tabs>
          <w:tab w:val="left" w:pos="5202"/>
        </w:tabs>
        <w:ind w:left="5102" w:hanging="1700"/>
      </w:pPr>
    </w:lvl>
  </w:abstractNum>
  <w:abstractNum w:abstractNumId="50">
    <w:nsid w:val="67F55E3A"/>
    <w:multiLevelType w:val="multilevel"/>
    <w:tmpl w:val="67F55E3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6AEA704B"/>
    <w:multiLevelType w:val="multilevel"/>
    <w:tmpl w:val="6AEA704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6AF74230"/>
    <w:multiLevelType w:val="multilevel"/>
    <w:tmpl w:val="6AF7423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6BCC430F"/>
    <w:multiLevelType w:val="multilevel"/>
    <w:tmpl w:val="6BCC430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4">
    <w:nsid w:val="70D74618"/>
    <w:multiLevelType w:val="multilevel"/>
    <w:tmpl w:val="70D7461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72254C9F"/>
    <w:multiLevelType w:val="multilevel"/>
    <w:tmpl w:val="72254C9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72D51EBA"/>
    <w:multiLevelType w:val="multilevel"/>
    <w:tmpl w:val="72D51EB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75325F7C"/>
    <w:multiLevelType w:val="multilevel"/>
    <w:tmpl w:val="75325F7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777437C8"/>
    <w:multiLevelType w:val="multilevel"/>
    <w:tmpl w:val="777437C8"/>
    <w:lvl w:ilvl="0" w:tentative="0">
      <w:start w:val="1"/>
      <w:numFmt w:val="decimal"/>
      <w:lvlText w:val="（%1）"/>
      <w:lvlJc w:val="left"/>
      <w:pPr>
        <w:tabs>
          <w:tab w:val="left" w:pos="1440"/>
        </w:tabs>
        <w:ind w:left="144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9">
    <w:nsid w:val="794218BA"/>
    <w:multiLevelType w:val="multilevel"/>
    <w:tmpl w:val="794218B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7D823685"/>
    <w:multiLevelType w:val="multilevel"/>
    <w:tmpl w:val="7D823685"/>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6"/>
  </w:num>
  <w:num w:numId="2">
    <w:abstractNumId w:val="12"/>
  </w:num>
  <w:num w:numId="3">
    <w:abstractNumId w:val="49"/>
  </w:num>
  <w:num w:numId="4">
    <w:abstractNumId w:val="33"/>
  </w:num>
  <w:num w:numId="5">
    <w:abstractNumId w:val="36"/>
  </w:num>
  <w:num w:numId="6">
    <w:abstractNumId w:val="38"/>
  </w:num>
  <w:num w:numId="7">
    <w:abstractNumId w:val="29"/>
  </w:num>
  <w:num w:numId="8">
    <w:abstractNumId w:val="18"/>
  </w:num>
  <w:num w:numId="9">
    <w:abstractNumId w:val="25"/>
  </w:num>
  <w:num w:numId="10">
    <w:abstractNumId w:val="27"/>
  </w:num>
  <w:num w:numId="11">
    <w:abstractNumId w:val="14"/>
  </w:num>
  <w:num w:numId="12">
    <w:abstractNumId w:val="2"/>
  </w:num>
  <w:num w:numId="13">
    <w:abstractNumId w:val="7"/>
    <w:lvlOverride w:ilvl="0">
      <w:startOverride w:val="1"/>
    </w:lvlOverride>
  </w:num>
  <w:num w:numId="14">
    <w:abstractNumId w:val="9"/>
  </w:num>
  <w:num w:numId="15">
    <w:abstractNumId w:val="1"/>
  </w:num>
  <w:num w:numId="16">
    <w:abstractNumId w:val="6"/>
  </w:num>
  <w:num w:numId="17">
    <w:abstractNumId w:val="3"/>
  </w:num>
  <w:num w:numId="18">
    <w:abstractNumId w:val="58"/>
  </w:num>
  <w:num w:numId="19">
    <w:abstractNumId w:val="11"/>
  </w:num>
  <w:num w:numId="20">
    <w:abstractNumId w:val="0"/>
  </w:num>
  <w:num w:numId="21">
    <w:abstractNumId w:val="46"/>
  </w:num>
  <w:num w:numId="22">
    <w:abstractNumId w:val="30"/>
  </w:num>
  <w:num w:numId="23">
    <w:abstractNumId w:val="20"/>
  </w:num>
  <w:num w:numId="24">
    <w:abstractNumId w:val="44"/>
  </w:num>
  <w:num w:numId="25">
    <w:abstractNumId w:val="51"/>
  </w:num>
  <w:num w:numId="26">
    <w:abstractNumId w:val="56"/>
  </w:num>
  <w:num w:numId="27">
    <w:abstractNumId w:val="41"/>
  </w:num>
  <w:num w:numId="28">
    <w:abstractNumId w:val="17"/>
  </w:num>
  <w:num w:numId="29">
    <w:abstractNumId w:val="45"/>
  </w:num>
  <w:num w:numId="30">
    <w:abstractNumId w:val="47"/>
  </w:num>
  <w:num w:numId="31">
    <w:abstractNumId w:val="32"/>
  </w:num>
  <w:num w:numId="32">
    <w:abstractNumId w:val="22"/>
  </w:num>
  <w:num w:numId="33">
    <w:abstractNumId w:val="40"/>
  </w:num>
  <w:num w:numId="34">
    <w:abstractNumId w:val="37"/>
  </w:num>
  <w:num w:numId="35">
    <w:abstractNumId w:val="28"/>
  </w:num>
  <w:num w:numId="36">
    <w:abstractNumId w:val="53"/>
  </w:num>
  <w:num w:numId="37">
    <w:abstractNumId w:val="19"/>
  </w:num>
  <w:num w:numId="38">
    <w:abstractNumId w:val="52"/>
  </w:num>
  <w:num w:numId="39">
    <w:abstractNumId w:val="59"/>
  </w:num>
  <w:num w:numId="40">
    <w:abstractNumId w:val="4"/>
  </w:num>
  <w:num w:numId="41">
    <w:abstractNumId w:val="8"/>
  </w:num>
  <w:num w:numId="42">
    <w:abstractNumId w:val="5"/>
  </w:num>
  <w:num w:numId="43">
    <w:abstractNumId w:val="10"/>
  </w:num>
  <w:num w:numId="44">
    <w:abstractNumId w:val="34"/>
  </w:num>
  <w:num w:numId="45">
    <w:abstractNumId w:val="50"/>
  </w:num>
  <w:num w:numId="46">
    <w:abstractNumId w:val="48"/>
  </w:num>
  <w:num w:numId="47">
    <w:abstractNumId w:val="15"/>
  </w:num>
  <w:num w:numId="48">
    <w:abstractNumId w:val="24"/>
  </w:num>
  <w:num w:numId="49">
    <w:abstractNumId w:val="21"/>
  </w:num>
  <w:num w:numId="50">
    <w:abstractNumId w:val="54"/>
  </w:num>
  <w:num w:numId="51">
    <w:abstractNumId w:val="23"/>
  </w:num>
  <w:num w:numId="52">
    <w:abstractNumId w:val="39"/>
  </w:num>
  <w:num w:numId="53">
    <w:abstractNumId w:val="55"/>
  </w:num>
  <w:num w:numId="54">
    <w:abstractNumId w:val="60"/>
  </w:num>
  <w:num w:numId="55">
    <w:abstractNumId w:val="13"/>
  </w:num>
  <w:num w:numId="56">
    <w:abstractNumId w:val="57"/>
  </w:num>
  <w:num w:numId="57">
    <w:abstractNumId w:val="31"/>
  </w:num>
  <w:num w:numId="58">
    <w:abstractNumId w:val="42"/>
  </w:num>
  <w:num w:numId="59">
    <w:abstractNumId w:val="35"/>
  </w:num>
  <w:num w:numId="60">
    <w:abstractNumId w:val="43"/>
  </w:num>
  <w:num w:numId="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2A"/>
    <w:rsid w:val="00035E1E"/>
    <w:rsid w:val="00037FAF"/>
    <w:rsid w:val="000965A0"/>
    <w:rsid w:val="000B3873"/>
    <w:rsid w:val="000D7632"/>
    <w:rsid w:val="000F0427"/>
    <w:rsid w:val="001135BD"/>
    <w:rsid w:val="001A4E65"/>
    <w:rsid w:val="001F1D4E"/>
    <w:rsid w:val="00291BBE"/>
    <w:rsid w:val="002A3551"/>
    <w:rsid w:val="00325C27"/>
    <w:rsid w:val="00366332"/>
    <w:rsid w:val="003802D0"/>
    <w:rsid w:val="0038599A"/>
    <w:rsid w:val="00391446"/>
    <w:rsid w:val="003921D4"/>
    <w:rsid w:val="003C197A"/>
    <w:rsid w:val="00402108"/>
    <w:rsid w:val="0043614E"/>
    <w:rsid w:val="0046490E"/>
    <w:rsid w:val="00481F06"/>
    <w:rsid w:val="00491DF7"/>
    <w:rsid w:val="00520CFF"/>
    <w:rsid w:val="005768E5"/>
    <w:rsid w:val="00593DCA"/>
    <w:rsid w:val="005B1412"/>
    <w:rsid w:val="005C0009"/>
    <w:rsid w:val="00616369"/>
    <w:rsid w:val="006D07AD"/>
    <w:rsid w:val="006D1327"/>
    <w:rsid w:val="006E424C"/>
    <w:rsid w:val="00715973"/>
    <w:rsid w:val="00770356"/>
    <w:rsid w:val="00797DC0"/>
    <w:rsid w:val="007A7DCC"/>
    <w:rsid w:val="007C033C"/>
    <w:rsid w:val="007E36A1"/>
    <w:rsid w:val="00801D70"/>
    <w:rsid w:val="008D3E53"/>
    <w:rsid w:val="0092462A"/>
    <w:rsid w:val="00991C11"/>
    <w:rsid w:val="009962EE"/>
    <w:rsid w:val="00A04D98"/>
    <w:rsid w:val="00A17573"/>
    <w:rsid w:val="00A265CC"/>
    <w:rsid w:val="00A46583"/>
    <w:rsid w:val="00A466C9"/>
    <w:rsid w:val="00A81727"/>
    <w:rsid w:val="00A97BBA"/>
    <w:rsid w:val="00AA6C47"/>
    <w:rsid w:val="00AC59CD"/>
    <w:rsid w:val="00AE13FA"/>
    <w:rsid w:val="00B742FD"/>
    <w:rsid w:val="00B86AF9"/>
    <w:rsid w:val="00BA5B2F"/>
    <w:rsid w:val="00BC2B7C"/>
    <w:rsid w:val="00BD1BAD"/>
    <w:rsid w:val="00BF026F"/>
    <w:rsid w:val="00C05352"/>
    <w:rsid w:val="00C21079"/>
    <w:rsid w:val="00C5321B"/>
    <w:rsid w:val="00C56C58"/>
    <w:rsid w:val="00C83E4C"/>
    <w:rsid w:val="00CA1D56"/>
    <w:rsid w:val="00CF6373"/>
    <w:rsid w:val="00CF6EE8"/>
    <w:rsid w:val="00D37005"/>
    <w:rsid w:val="00D80F5E"/>
    <w:rsid w:val="00D93944"/>
    <w:rsid w:val="00DA2792"/>
    <w:rsid w:val="00DB68A7"/>
    <w:rsid w:val="00DE274D"/>
    <w:rsid w:val="00DE4FB9"/>
    <w:rsid w:val="00E3256C"/>
    <w:rsid w:val="00E62B92"/>
    <w:rsid w:val="00E633FF"/>
    <w:rsid w:val="00E73C89"/>
    <w:rsid w:val="00E74691"/>
    <w:rsid w:val="00E854D0"/>
    <w:rsid w:val="00EF3495"/>
    <w:rsid w:val="00F01E3F"/>
    <w:rsid w:val="00F23DCA"/>
    <w:rsid w:val="00FE3D9C"/>
    <w:rsid w:val="01830D8B"/>
    <w:rsid w:val="01D2714D"/>
    <w:rsid w:val="02211468"/>
    <w:rsid w:val="023B3DBA"/>
    <w:rsid w:val="04791E14"/>
    <w:rsid w:val="04B23C8A"/>
    <w:rsid w:val="04FC77A4"/>
    <w:rsid w:val="050559E7"/>
    <w:rsid w:val="056B74BD"/>
    <w:rsid w:val="06AD148C"/>
    <w:rsid w:val="07096A1F"/>
    <w:rsid w:val="07353FD8"/>
    <w:rsid w:val="07833B88"/>
    <w:rsid w:val="094C68E8"/>
    <w:rsid w:val="0AF83E05"/>
    <w:rsid w:val="0C0230FB"/>
    <w:rsid w:val="0C044E44"/>
    <w:rsid w:val="0C453F0A"/>
    <w:rsid w:val="0C551509"/>
    <w:rsid w:val="0EBA78FF"/>
    <w:rsid w:val="11064763"/>
    <w:rsid w:val="130B22AD"/>
    <w:rsid w:val="13400B3E"/>
    <w:rsid w:val="1348689B"/>
    <w:rsid w:val="145159E1"/>
    <w:rsid w:val="14532707"/>
    <w:rsid w:val="147D4EF5"/>
    <w:rsid w:val="157A1C29"/>
    <w:rsid w:val="157C247D"/>
    <w:rsid w:val="15DD471D"/>
    <w:rsid w:val="165F71B6"/>
    <w:rsid w:val="19E156E1"/>
    <w:rsid w:val="1AC77E5C"/>
    <w:rsid w:val="1B5254BA"/>
    <w:rsid w:val="1B671032"/>
    <w:rsid w:val="1CC70A1F"/>
    <w:rsid w:val="1DBB053C"/>
    <w:rsid w:val="1DEB4026"/>
    <w:rsid w:val="1FBD1134"/>
    <w:rsid w:val="20C53590"/>
    <w:rsid w:val="20FF6E5B"/>
    <w:rsid w:val="217E02D0"/>
    <w:rsid w:val="21F20F19"/>
    <w:rsid w:val="228E0C7D"/>
    <w:rsid w:val="22A71CD3"/>
    <w:rsid w:val="22B84709"/>
    <w:rsid w:val="257D244C"/>
    <w:rsid w:val="25F73A5D"/>
    <w:rsid w:val="27466BA7"/>
    <w:rsid w:val="27E61F7E"/>
    <w:rsid w:val="28511A10"/>
    <w:rsid w:val="289F53E1"/>
    <w:rsid w:val="295E582A"/>
    <w:rsid w:val="2B977835"/>
    <w:rsid w:val="2BAE1EE5"/>
    <w:rsid w:val="2BE10BEC"/>
    <w:rsid w:val="2C8C581E"/>
    <w:rsid w:val="2D8B1B03"/>
    <w:rsid w:val="2E09760F"/>
    <w:rsid w:val="2F7D6FF8"/>
    <w:rsid w:val="3082765B"/>
    <w:rsid w:val="30883B4C"/>
    <w:rsid w:val="315E33B3"/>
    <w:rsid w:val="34213017"/>
    <w:rsid w:val="343E4F0F"/>
    <w:rsid w:val="34FA0708"/>
    <w:rsid w:val="351F7A40"/>
    <w:rsid w:val="353A6BD5"/>
    <w:rsid w:val="353F43A4"/>
    <w:rsid w:val="35451CDD"/>
    <w:rsid w:val="367C63BA"/>
    <w:rsid w:val="369304CC"/>
    <w:rsid w:val="36996692"/>
    <w:rsid w:val="37067D21"/>
    <w:rsid w:val="3728586B"/>
    <w:rsid w:val="37A77A94"/>
    <w:rsid w:val="39BD70B4"/>
    <w:rsid w:val="3AB847D6"/>
    <w:rsid w:val="3AEB6AAA"/>
    <w:rsid w:val="3C392B61"/>
    <w:rsid w:val="3F4E2626"/>
    <w:rsid w:val="3F504ECB"/>
    <w:rsid w:val="3F8341B6"/>
    <w:rsid w:val="3F8464E9"/>
    <w:rsid w:val="3FB40395"/>
    <w:rsid w:val="40433E0F"/>
    <w:rsid w:val="419F6313"/>
    <w:rsid w:val="42056E11"/>
    <w:rsid w:val="42286301"/>
    <w:rsid w:val="42BC3CA3"/>
    <w:rsid w:val="43D15B2A"/>
    <w:rsid w:val="43F7029E"/>
    <w:rsid w:val="44852B4E"/>
    <w:rsid w:val="45C813E0"/>
    <w:rsid w:val="464A7BC4"/>
    <w:rsid w:val="46710E9B"/>
    <w:rsid w:val="46DF3D9B"/>
    <w:rsid w:val="47133F6E"/>
    <w:rsid w:val="486C677C"/>
    <w:rsid w:val="48C7045D"/>
    <w:rsid w:val="49235006"/>
    <w:rsid w:val="493F4FB1"/>
    <w:rsid w:val="494123EC"/>
    <w:rsid w:val="4AC7634B"/>
    <w:rsid w:val="4C643C24"/>
    <w:rsid w:val="4C9151C4"/>
    <w:rsid w:val="4D0B1D98"/>
    <w:rsid w:val="4DB85F8D"/>
    <w:rsid w:val="4E36469D"/>
    <w:rsid w:val="4E377EB5"/>
    <w:rsid w:val="4E733146"/>
    <w:rsid w:val="4E842469"/>
    <w:rsid w:val="4EF90867"/>
    <w:rsid w:val="4F655B53"/>
    <w:rsid w:val="4FDA42FE"/>
    <w:rsid w:val="4FEF0066"/>
    <w:rsid w:val="4FEF2E1A"/>
    <w:rsid w:val="4FF11B74"/>
    <w:rsid w:val="507B69D5"/>
    <w:rsid w:val="515F3630"/>
    <w:rsid w:val="52600135"/>
    <w:rsid w:val="53B47F54"/>
    <w:rsid w:val="544B32A1"/>
    <w:rsid w:val="54C015E2"/>
    <w:rsid w:val="54DF05C5"/>
    <w:rsid w:val="568462D4"/>
    <w:rsid w:val="56DE3670"/>
    <w:rsid w:val="57DB38A4"/>
    <w:rsid w:val="586B0093"/>
    <w:rsid w:val="58CC438C"/>
    <w:rsid w:val="58D73905"/>
    <w:rsid w:val="590D78BB"/>
    <w:rsid w:val="591E507F"/>
    <w:rsid w:val="5A3576F2"/>
    <w:rsid w:val="5ACA2632"/>
    <w:rsid w:val="5AEB03A1"/>
    <w:rsid w:val="5B011F33"/>
    <w:rsid w:val="5B3E00F1"/>
    <w:rsid w:val="5C221E58"/>
    <w:rsid w:val="5C942EAD"/>
    <w:rsid w:val="5DF51BE8"/>
    <w:rsid w:val="5E201E7B"/>
    <w:rsid w:val="5F3E4AC6"/>
    <w:rsid w:val="5F70420D"/>
    <w:rsid w:val="5F756526"/>
    <w:rsid w:val="6046579D"/>
    <w:rsid w:val="60DB0A4A"/>
    <w:rsid w:val="6110457E"/>
    <w:rsid w:val="61832148"/>
    <w:rsid w:val="627506F8"/>
    <w:rsid w:val="62952CC7"/>
    <w:rsid w:val="62B67CEE"/>
    <w:rsid w:val="64297169"/>
    <w:rsid w:val="648E3FF1"/>
    <w:rsid w:val="65705F28"/>
    <w:rsid w:val="65FE4872"/>
    <w:rsid w:val="664A5588"/>
    <w:rsid w:val="66AD3AB5"/>
    <w:rsid w:val="66C410C2"/>
    <w:rsid w:val="67042CBB"/>
    <w:rsid w:val="671E65D3"/>
    <w:rsid w:val="67E70D43"/>
    <w:rsid w:val="680A257D"/>
    <w:rsid w:val="693B2912"/>
    <w:rsid w:val="69850238"/>
    <w:rsid w:val="6A033CB9"/>
    <w:rsid w:val="6A6253BC"/>
    <w:rsid w:val="6CA00BFE"/>
    <w:rsid w:val="6CD77C2E"/>
    <w:rsid w:val="6D0403F1"/>
    <w:rsid w:val="6D4B2C52"/>
    <w:rsid w:val="6DAC054E"/>
    <w:rsid w:val="6E222797"/>
    <w:rsid w:val="6E6C2A87"/>
    <w:rsid w:val="6EFA0509"/>
    <w:rsid w:val="6FC665A5"/>
    <w:rsid w:val="6FD86C93"/>
    <w:rsid w:val="70D90389"/>
    <w:rsid w:val="71DC53E4"/>
    <w:rsid w:val="71E52B72"/>
    <w:rsid w:val="720C1865"/>
    <w:rsid w:val="72435A94"/>
    <w:rsid w:val="72C26F6C"/>
    <w:rsid w:val="74723E4F"/>
    <w:rsid w:val="751B09F2"/>
    <w:rsid w:val="758D6C22"/>
    <w:rsid w:val="75E40793"/>
    <w:rsid w:val="76C53A87"/>
    <w:rsid w:val="77E41D51"/>
    <w:rsid w:val="78AD5AA9"/>
    <w:rsid w:val="78B14013"/>
    <w:rsid w:val="79ED2BC4"/>
    <w:rsid w:val="7A8E5634"/>
    <w:rsid w:val="7C156F01"/>
    <w:rsid w:val="7C6B4F35"/>
    <w:rsid w:val="7D390B4D"/>
    <w:rsid w:val="7EBB631D"/>
    <w:rsid w:val="7F1C3C94"/>
    <w:rsid w:val="7F1E5608"/>
    <w:rsid w:val="7F7107BD"/>
    <w:rsid w:val="7FA62B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unhideWhenUsed/>
    <w:qFormat/>
    <w:uiPriority w:val="0"/>
    <w:pPr>
      <w:keepNext/>
      <w:keepLines/>
      <w:spacing w:before="260" w:after="260" w:line="413" w:lineRule="auto"/>
      <w:outlineLvl w:val="2"/>
    </w:pPr>
    <w:rPr>
      <w:b/>
      <w:sz w:val="32"/>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after="290" w:line="372" w:lineRule="auto"/>
      <w:outlineLvl w:val="4"/>
    </w:pPr>
    <w:rPr>
      <w:b/>
      <w:sz w:val="28"/>
    </w:rPr>
  </w:style>
  <w:style w:type="paragraph" w:styleId="8">
    <w:name w:val="heading 6"/>
    <w:basedOn w:val="1"/>
    <w:next w:val="1"/>
    <w:unhideWhenUsed/>
    <w:qFormat/>
    <w:uiPriority w:val="0"/>
    <w:pPr>
      <w:keepNext/>
      <w:keepLines/>
      <w:spacing w:before="240" w:after="64" w:line="317" w:lineRule="auto"/>
      <w:outlineLvl w:val="5"/>
    </w:pPr>
    <w:rPr>
      <w:rFonts w:ascii="Arial" w:hAnsi="Arial" w:eastAsia="黑体"/>
      <w:b/>
      <w:sz w:val="24"/>
    </w:rPr>
  </w:style>
  <w:style w:type="paragraph" w:styleId="9">
    <w:name w:val="heading 7"/>
    <w:basedOn w:val="1"/>
    <w:next w:val="1"/>
    <w:unhideWhenUsed/>
    <w:qFormat/>
    <w:uiPriority w:val="0"/>
    <w:pPr>
      <w:keepNext/>
      <w:keepLines/>
      <w:spacing w:before="240" w:after="64" w:line="317" w:lineRule="auto"/>
      <w:outlineLvl w:val="6"/>
    </w:pPr>
    <w:rPr>
      <w:b/>
      <w:sz w:val="2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szCs w:val="24"/>
    </w:rPr>
  </w:style>
  <w:style w:type="paragraph" w:styleId="10">
    <w:name w:val="annotation text"/>
    <w:basedOn w:val="1"/>
    <w:link w:val="40"/>
    <w:qFormat/>
    <w:uiPriority w:val="0"/>
    <w:pPr>
      <w:jc w:val="left"/>
    </w:pPr>
    <w:rPr>
      <w:rFonts w:ascii="Times New Roman" w:hAnsi="Times New Roman"/>
    </w:rPr>
  </w:style>
  <w:style w:type="paragraph" w:styleId="11">
    <w:name w:val="Plain Text"/>
    <w:basedOn w:val="1"/>
    <w:qFormat/>
    <w:uiPriority w:val="0"/>
    <w:pPr>
      <w:spacing w:line="360" w:lineRule="auto"/>
    </w:pPr>
    <w:rPr>
      <w:rFonts w:ascii="宋体" w:hAnsi="Courier New"/>
      <w:sz w:val="24"/>
      <w:szCs w:val="21"/>
    </w:rPr>
  </w:style>
  <w:style w:type="paragraph" w:styleId="12">
    <w:name w:val="Balloon Text"/>
    <w:basedOn w:val="1"/>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widowControl/>
      <w:tabs>
        <w:tab w:val="right" w:leader="dot" w:pos="8273"/>
      </w:tabs>
      <w:spacing w:line="360" w:lineRule="auto"/>
      <w:jc w:val="left"/>
    </w:pPr>
    <w:rPr>
      <w:rFonts w:eastAsia="黑体"/>
      <w:kern w:val="0"/>
      <w:sz w:val="22"/>
    </w:rPr>
  </w:style>
  <w:style w:type="paragraph" w:styleId="16">
    <w:name w:val="toc 2"/>
    <w:basedOn w:val="1"/>
    <w:next w:val="1"/>
    <w:qFormat/>
    <w:uiPriority w:val="39"/>
    <w:pPr>
      <w:widowControl/>
      <w:spacing w:after="100" w:line="276" w:lineRule="auto"/>
      <w:ind w:left="220"/>
      <w:jc w:val="left"/>
    </w:pPr>
    <w:rPr>
      <w:kern w:val="0"/>
      <w:sz w:val="22"/>
    </w:rPr>
  </w:style>
  <w:style w:type="paragraph" w:styleId="17">
    <w:name w:val="Normal (Web)"/>
    <w:basedOn w:val="1"/>
    <w:qFormat/>
    <w:uiPriority w:val="0"/>
    <w:pPr>
      <w:jc w:val="left"/>
    </w:pPr>
    <w:rPr>
      <w:rFonts w:cs="Times New Roman"/>
      <w:kern w:val="0"/>
      <w:sz w:val="24"/>
    </w:rPr>
  </w:style>
  <w:style w:type="paragraph" w:styleId="18">
    <w:name w:val="annotation subject"/>
    <w:basedOn w:val="10"/>
    <w:next w:val="10"/>
    <w:link w:val="41"/>
    <w:qFormat/>
    <w:uiPriority w:val="0"/>
    <w:rPr>
      <w:rFonts w:asciiTheme="minorHAnsi" w:hAnsiTheme="minorHAnsi"/>
      <w:b/>
      <w:bCs/>
    </w:rPr>
  </w:style>
  <w:style w:type="paragraph" w:styleId="19">
    <w:name w:val="Body Text First Indent"/>
    <w:basedOn w:val="2"/>
    <w:qFormat/>
    <w:uiPriority w:val="0"/>
    <w:pPr>
      <w:ind w:firstLine="420" w:firstLineChars="100"/>
    </w:p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3">
    <w:name w:val="Strong"/>
    <w:basedOn w:val="22"/>
    <w:qFormat/>
    <w:uiPriority w:val="0"/>
    <w:rPr>
      <w:b/>
      <w:bCs/>
    </w:rPr>
  </w:style>
  <w:style w:type="character" w:styleId="24">
    <w:name w:val="FollowedHyperlink"/>
    <w:basedOn w:val="22"/>
    <w:qFormat/>
    <w:uiPriority w:val="0"/>
    <w:rPr>
      <w:color w:val="333333"/>
      <w:u w:val="none"/>
    </w:rPr>
  </w:style>
  <w:style w:type="character" w:styleId="25">
    <w:name w:val="Emphasis"/>
    <w:basedOn w:val="22"/>
    <w:qFormat/>
    <w:uiPriority w:val="0"/>
  </w:style>
  <w:style w:type="character" w:styleId="26">
    <w:name w:val="Hyperlink"/>
    <w:qFormat/>
    <w:uiPriority w:val="99"/>
    <w:rPr>
      <w:color w:val="0000FF"/>
      <w:u w:val="single"/>
    </w:rPr>
  </w:style>
  <w:style w:type="character" w:styleId="27">
    <w:name w:val="annotation reference"/>
    <w:basedOn w:val="22"/>
    <w:qFormat/>
    <w:uiPriority w:val="0"/>
    <w:rPr>
      <w:sz w:val="21"/>
      <w:szCs w:val="21"/>
    </w:rPr>
  </w:style>
  <w:style w:type="paragraph" w:customStyle="1" w:styleId="28">
    <w:name w:val="首行缩进"/>
    <w:basedOn w:val="1"/>
    <w:qFormat/>
    <w:uiPriority w:val="0"/>
    <w:pPr>
      <w:ind w:firstLine="480" w:firstLineChars="200"/>
    </w:pPr>
    <w:rPr>
      <w:lang w:val="zh-CN"/>
    </w:rPr>
  </w:style>
  <w:style w:type="paragraph" w:customStyle="1" w:styleId="29">
    <w:name w:val="列出段落1"/>
    <w:basedOn w:val="1"/>
    <w:qFormat/>
    <w:uiPriority w:val="0"/>
    <w:pPr>
      <w:ind w:firstLine="420" w:firstLineChars="200"/>
    </w:p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31">
    <w:name w:val="列出段落11"/>
    <w:basedOn w:val="1"/>
    <w:qFormat/>
    <w:uiPriority w:val="34"/>
    <w:pPr>
      <w:ind w:firstLine="420" w:firstLineChars="200"/>
    </w:pPr>
    <w:rPr>
      <w:rFonts w:ascii="Calibri" w:hAnsi="Calibri" w:eastAsia="宋体" w:cs="黑体"/>
    </w:rPr>
  </w:style>
  <w:style w:type="paragraph" w:customStyle="1" w:styleId="32">
    <w:name w:val="列出段落2"/>
    <w:basedOn w:val="1"/>
    <w:unhideWhenUsed/>
    <w:qFormat/>
    <w:uiPriority w:val="99"/>
    <w:pPr>
      <w:ind w:firstLine="420" w:firstLineChars="200"/>
    </w:pPr>
  </w:style>
  <w:style w:type="paragraph" w:customStyle="1" w:styleId="33">
    <w:name w:val="正文缩进2格"/>
    <w:basedOn w:val="1"/>
    <w:link w:val="42"/>
    <w:qFormat/>
    <w:uiPriority w:val="0"/>
    <w:pPr>
      <w:spacing w:line="600" w:lineRule="exact"/>
      <w:ind w:firstLine="639" w:firstLineChars="206"/>
    </w:pPr>
    <w:rPr>
      <w:rFonts w:ascii="仿宋_GB2312" w:hAnsi="宋体" w:eastAsia="仿宋_GB2312" w:cs="Times New Roman"/>
      <w:sz w:val="31"/>
      <w:szCs w:val="28"/>
    </w:rPr>
  </w:style>
  <w:style w:type="paragraph" w:customStyle="1" w:styleId="34">
    <w:name w:val="正文缩进4格"/>
    <w:basedOn w:val="33"/>
    <w:qFormat/>
    <w:uiPriority w:val="0"/>
    <w:pPr>
      <w:spacing w:line="340" w:lineRule="exact"/>
      <w:ind w:firstLine="315" w:firstLineChars="0"/>
    </w:pPr>
    <w:rPr>
      <w:rFonts w:ascii="宋体" w:eastAsia="宋体"/>
      <w:sz w:val="24"/>
      <w:szCs w:val="24"/>
    </w:rPr>
  </w:style>
  <w:style w:type="paragraph" w:customStyle="1" w:styleId="35">
    <w:name w:val="表格文字"/>
    <w:basedOn w:val="1"/>
    <w:qFormat/>
    <w:uiPriority w:val="0"/>
    <w:pPr>
      <w:spacing w:before="25" w:after="25" w:line="300" w:lineRule="auto"/>
    </w:pPr>
    <w:rPr>
      <w:rFonts w:ascii="宋体" w:hAnsi="宋体"/>
      <w:spacing w:val="10"/>
      <w:kern w:val="0"/>
      <w:sz w:val="24"/>
      <w:szCs w:val="20"/>
    </w:rPr>
  </w:style>
  <w:style w:type="character" w:customStyle="1" w:styleId="36">
    <w:name w:val="标题1"/>
    <w:basedOn w:val="22"/>
    <w:qFormat/>
    <w:uiPriority w:val="0"/>
  </w:style>
  <w:style w:type="paragraph" w:customStyle="1" w:styleId="37">
    <w:name w:val="列出段落3"/>
    <w:basedOn w:val="1"/>
    <w:qFormat/>
    <w:uiPriority w:val="0"/>
    <w:pPr>
      <w:widowControl/>
      <w:spacing w:after="200" w:line="276" w:lineRule="auto"/>
      <w:ind w:left="720"/>
      <w:jc w:val="left"/>
    </w:pPr>
    <w:rPr>
      <w:rFonts w:ascii="Calibri" w:hAnsi="Calibri" w:cs="Calibri"/>
      <w:kern w:val="0"/>
      <w:sz w:val="22"/>
    </w:rPr>
  </w:style>
  <w:style w:type="paragraph" w:customStyle="1" w:styleId="38">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39">
    <w:name w:val="保留正文"/>
    <w:basedOn w:val="2"/>
    <w:qFormat/>
    <w:uiPriority w:val="0"/>
    <w:pPr>
      <w:keepNext/>
      <w:spacing w:after="160"/>
    </w:pPr>
  </w:style>
  <w:style w:type="character" w:customStyle="1" w:styleId="40">
    <w:name w:val="批注文字 字符"/>
    <w:basedOn w:val="22"/>
    <w:link w:val="10"/>
    <w:qFormat/>
    <w:uiPriority w:val="0"/>
    <w:rPr>
      <w:rFonts w:eastAsiaTheme="minorEastAsia" w:cstheme="minorBidi"/>
      <w:kern w:val="2"/>
      <w:sz w:val="21"/>
      <w:szCs w:val="22"/>
    </w:rPr>
  </w:style>
  <w:style w:type="character" w:customStyle="1" w:styleId="41">
    <w:name w:val="批注主题 字符"/>
    <w:basedOn w:val="40"/>
    <w:link w:val="18"/>
    <w:qFormat/>
    <w:uiPriority w:val="0"/>
    <w:rPr>
      <w:rFonts w:asciiTheme="minorHAnsi" w:hAnsiTheme="minorHAnsi" w:eastAsiaTheme="minorEastAsia" w:cstheme="minorBidi"/>
      <w:b/>
      <w:bCs/>
      <w:kern w:val="2"/>
      <w:sz w:val="21"/>
      <w:szCs w:val="22"/>
    </w:rPr>
  </w:style>
  <w:style w:type="character" w:customStyle="1" w:styleId="42">
    <w:name w:val="正文缩进2格 Char"/>
    <w:link w:val="33"/>
    <w:qFormat/>
    <w:uiPriority w:val="0"/>
    <w:rPr>
      <w:rFonts w:ascii="仿宋_GB2312" w:hAnsi="宋体" w:eastAsia="仿宋_GB2312"/>
      <w:kern w:val="2"/>
      <w:sz w:val="31"/>
      <w:szCs w:val="28"/>
    </w:rPr>
  </w:style>
  <w:style w:type="paragraph" w:styleId="43">
    <w:name w:val="List Paragraph"/>
    <w:basedOn w:val="1"/>
    <w:qFormat/>
    <w:uiPriority w:val="99"/>
    <w:pPr>
      <w:ind w:firstLine="420" w:firstLineChars="200"/>
    </w:pPr>
  </w:style>
  <w:style w:type="paragraph" w:customStyle="1" w:styleId="44">
    <w:name w:val="正文文本 (2)1"/>
    <w:basedOn w:val="1"/>
    <w:qFormat/>
    <w:uiPriority w:val="99"/>
    <w:pPr>
      <w:shd w:val="clear" w:color="auto" w:fill="FFFFFF"/>
      <w:spacing w:line="624" w:lineRule="exact"/>
    </w:pPr>
    <w:rPr>
      <w:rFonts w:ascii="MingLiU" w:hAnsi="Times New Roman" w:eastAsia="MingLiU" w:cs="MingLiU"/>
      <w:sz w:val="26"/>
      <w:szCs w:val="26"/>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F2E42D-8400-41DD-9DB8-B2834965CB5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7321</Words>
  <Characters>41732</Characters>
  <Lines>347</Lines>
  <Paragraphs>97</Paragraphs>
  <TotalTime>12</TotalTime>
  <ScaleCrop>false</ScaleCrop>
  <LinksUpToDate>false</LinksUpToDate>
  <CharactersWithSpaces>48956</CharactersWithSpaces>
  <Application>WPS Office_11.1.0.8654_F1E327BC-269C-435d-A152-05C5408002CA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jun</dc:creator>
  <cp:lastModifiedBy>xt</cp:lastModifiedBy>
  <cp:lastPrinted>2018-02-09T08:06:00Z</cp:lastPrinted>
  <dcterms:modified xsi:type="dcterms:W3CDTF">2019-05-27T06:57:44Z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2052-11.1.0.8654</vt:lpwstr>
  </property>
</Properties>
</file>